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8CC" w:rsidRDefault="002668CC" w:rsidP="002668CC">
      <w:pPr>
        <w:spacing w:after="0"/>
        <w:rPr>
          <w:b/>
        </w:rPr>
      </w:pPr>
      <w:bookmarkStart w:id="0" w:name="_GoBack"/>
      <w:bookmarkEnd w:id="0"/>
      <w:r>
        <w:rPr>
          <w:b/>
        </w:rPr>
        <w:t xml:space="preserve">Follow Up Questions from the 2019 Part C and D Call Letter and Final Rule Call </w:t>
      </w:r>
    </w:p>
    <w:p w:rsidR="002668CC" w:rsidRDefault="002668CC" w:rsidP="002668CC">
      <w:pPr>
        <w:spacing w:after="0"/>
        <w:rPr>
          <w:b/>
        </w:rPr>
      </w:pPr>
      <w:r>
        <w:rPr>
          <w:b/>
        </w:rPr>
        <w:t xml:space="preserve">June 14, 2018 </w:t>
      </w:r>
    </w:p>
    <w:p w:rsidR="002668CC" w:rsidRDefault="002668CC" w:rsidP="002668CC">
      <w:pPr>
        <w:spacing w:after="0"/>
        <w:rPr>
          <w:b/>
        </w:rPr>
      </w:pPr>
    </w:p>
    <w:p w:rsidR="006B0960" w:rsidRDefault="00F17437" w:rsidP="009D3486">
      <w:pPr>
        <w:rPr>
          <w:b/>
        </w:rPr>
      </w:pPr>
      <w:r w:rsidRPr="002668CC">
        <w:rPr>
          <w:b/>
        </w:rPr>
        <w:t xml:space="preserve">Will there be a Medigap Guaranteed Issue right for persons who leave a sunsetting cost plan who choose to go back to Original Medicare? </w:t>
      </w:r>
    </w:p>
    <w:p w:rsidR="009D3486" w:rsidRPr="008C2BC2" w:rsidRDefault="002C7D24" w:rsidP="009D3486">
      <w:pPr>
        <w:rPr>
          <w:b/>
          <w:color w:val="1F497D"/>
        </w:rPr>
      </w:pPr>
      <w:r w:rsidRPr="008C2BC2">
        <w:t>Individuals enrolled in a non-renewing plans are in fact eligible for an SEP to enroll in a new MA plan, or Part D plan</w:t>
      </w:r>
      <w:r w:rsidRPr="008C2BC2">
        <w:rPr>
          <w:b/>
        </w:rPr>
        <w:t xml:space="preserve"> </w:t>
      </w:r>
      <w:hyperlink r:id="rId4" w:history="1">
        <w:r w:rsidRPr="008C2BC2">
          <w:rPr>
            <w:rStyle w:val="Hyperlink"/>
          </w:rPr>
          <w:t>Medicare Managed Care Manual—Chapter 2—Section 30.4.3</w:t>
        </w:r>
      </w:hyperlink>
      <w:r w:rsidRPr="008C2BC2">
        <w:rPr>
          <w:color w:val="1F497D"/>
        </w:rPr>
        <w:t xml:space="preserve"> </w:t>
      </w:r>
      <w:r w:rsidRPr="008C2BC2">
        <w:t>such individual also have a Federal Guaranteed Issue Right to enroll in a Medigap policy</w:t>
      </w:r>
      <w:r w:rsidR="009D3486" w:rsidRPr="008C2BC2">
        <w:t xml:space="preserve">, </w:t>
      </w:r>
      <w:r w:rsidR="008C2BC2" w:rsidRPr="008C2BC2">
        <w:t xml:space="preserve">details can be found in </w:t>
      </w:r>
      <w:r w:rsidR="009D3486" w:rsidRPr="008C2BC2">
        <w:t>the</w:t>
      </w:r>
      <w:r w:rsidR="009D3486" w:rsidRPr="008C2BC2">
        <w:rPr>
          <w:b/>
          <w:color w:val="1F497D"/>
        </w:rPr>
        <w:t xml:space="preserve"> </w:t>
      </w:r>
      <w:hyperlink r:id="rId5" w:history="1">
        <w:r w:rsidR="009D3486" w:rsidRPr="008C2BC2">
          <w:rPr>
            <w:rStyle w:val="Hyperlink"/>
          </w:rPr>
          <w:t>NAIC model regulation</w:t>
        </w:r>
      </w:hyperlink>
      <w:r w:rsidR="009D3486" w:rsidRPr="008C2BC2">
        <w:rPr>
          <w:color w:val="1F497D"/>
        </w:rPr>
        <w:t xml:space="preserve">  </w:t>
      </w:r>
      <w:r w:rsidR="008C2BC2" w:rsidRPr="008C2BC2">
        <w:t xml:space="preserve">in </w:t>
      </w:r>
      <w:r w:rsidR="009D3486" w:rsidRPr="008C2BC2">
        <w:t>chapter 12</w:t>
      </w:r>
    </w:p>
    <w:p w:rsidR="002C7D24" w:rsidRDefault="002C7D24" w:rsidP="00F17437"/>
    <w:p w:rsidR="006B0960" w:rsidRDefault="00F17437" w:rsidP="00F17437">
      <w:pPr>
        <w:rPr>
          <w:b/>
        </w:rPr>
      </w:pPr>
      <w:r w:rsidRPr="006115C8">
        <w:rPr>
          <w:b/>
        </w:rPr>
        <w:t>How will we know for certain if we are or are not losing the cost plan in our area</w:t>
      </w:r>
      <w:r w:rsidR="006B0960">
        <w:rPr>
          <w:b/>
        </w:rPr>
        <w:t>?</w:t>
      </w:r>
      <w:r w:rsidRPr="006115C8">
        <w:rPr>
          <w:b/>
        </w:rPr>
        <w:t xml:space="preserve"> </w:t>
      </w:r>
      <w:r w:rsidR="00025C62">
        <w:rPr>
          <w:b/>
        </w:rPr>
        <w:t xml:space="preserve"> </w:t>
      </w:r>
      <w:r w:rsidRPr="006115C8">
        <w:rPr>
          <w:b/>
        </w:rPr>
        <w:t>Will here be notification before 2019 AEP?</w:t>
      </w:r>
      <w:r w:rsidRPr="006115C8">
        <w:rPr>
          <w:b/>
        </w:rPr>
        <w:tab/>
      </w:r>
    </w:p>
    <w:p w:rsidR="005C0148" w:rsidRPr="00025C62" w:rsidRDefault="00025C62" w:rsidP="00F17437">
      <w:r w:rsidRPr="00025C62">
        <w:t xml:space="preserve">A list of plans in each </w:t>
      </w:r>
      <w:r>
        <w:t xml:space="preserve">service </w:t>
      </w:r>
      <w:r w:rsidRPr="00025C62">
        <w:t xml:space="preserve">area </w:t>
      </w:r>
      <w:r w:rsidR="006B0960">
        <w:t xml:space="preserve">is published in the </w:t>
      </w:r>
      <w:r w:rsidRPr="00025C62">
        <w:t>Medicare and You handbook</w:t>
      </w:r>
      <w:r w:rsidR="006B0960">
        <w:t xml:space="preserve">. </w:t>
      </w:r>
      <w:r w:rsidRPr="00025C62">
        <w:t xml:space="preserve"> </w:t>
      </w:r>
    </w:p>
    <w:p w:rsidR="00F17437" w:rsidRDefault="00F17437" w:rsidP="00F17437"/>
    <w:p w:rsidR="006B0960" w:rsidRDefault="006115C8" w:rsidP="006B0960">
      <w:pPr>
        <w:spacing w:after="0"/>
        <w:rPr>
          <w:b/>
        </w:rPr>
      </w:pPr>
      <w:r w:rsidRPr="006115C8">
        <w:rPr>
          <w:b/>
        </w:rPr>
        <w:t>C</w:t>
      </w:r>
      <w:r w:rsidR="00F17437" w:rsidRPr="006115C8">
        <w:rPr>
          <w:b/>
        </w:rPr>
        <w:t xml:space="preserve">an you define </w:t>
      </w:r>
      <w:r w:rsidR="006B0960" w:rsidRPr="006115C8">
        <w:rPr>
          <w:b/>
        </w:rPr>
        <w:t>biosimilar</w:t>
      </w:r>
      <w:r w:rsidR="006B0960">
        <w:rPr>
          <w:b/>
        </w:rPr>
        <w:t xml:space="preserve">?  </w:t>
      </w:r>
    </w:p>
    <w:p w:rsidR="006115C8" w:rsidRPr="006115C8" w:rsidRDefault="00F17437" w:rsidP="006B0960">
      <w:pPr>
        <w:spacing w:after="0"/>
        <w:rPr>
          <w:b/>
        </w:rPr>
      </w:pPr>
      <w:r w:rsidRPr="006115C8">
        <w:rPr>
          <w:b/>
        </w:rPr>
        <w:tab/>
      </w:r>
    </w:p>
    <w:p w:rsidR="006115C8" w:rsidRDefault="006115C8" w:rsidP="006B0960">
      <w:pPr>
        <w:spacing w:after="0"/>
      </w:pPr>
      <w:r>
        <w:t>Several definitions were offered by call participants.</w:t>
      </w:r>
    </w:p>
    <w:p w:rsidR="006115C8" w:rsidRDefault="006115C8" w:rsidP="006B0960">
      <w:pPr>
        <w:spacing w:after="0"/>
      </w:pPr>
      <w:r>
        <w:t>A biosimilar is a biological product that is similar to an FDA approved reference product</w:t>
      </w:r>
      <w:r w:rsidR="006B0960">
        <w:t xml:space="preserve">.  </w:t>
      </w:r>
      <w:r>
        <w:tab/>
      </w:r>
      <w:r>
        <w:tab/>
      </w:r>
    </w:p>
    <w:p w:rsidR="006115C8" w:rsidRDefault="00F17437" w:rsidP="006B0960">
      <w:pPr>
        <w:spacing w:after="0"/>
      </w:pPr>
      <w:r>
        <w:t>Unlike generic medicines in which the active ingredients are identical to the reference small–molecule drug, biosimilars will not be identical to the reference biologics. ... A generic drug, by legal definition, is an exact copy of its reference medicine and must have the same chemical structure.</w:t>
      </w:r>
      <w:r w:rsidRPr="00F17437">
        <w:t xml:space="preserve"> </w:t>
      </w:r>
    </w:p>
    <w:p w:rsidR="006B0960" w:rsidRDefault="006B0960" w:rsidP="00F17437">
      <w:pPr>
        <w:rPr>
          <w:b/>
        </w:rPr>
      </w:pPr>
    </w:p>
    <w:p w:rsidR="006115C8" w:rsidRPr="006115C8" w:rsidRDefault="00F17437" w:rsidP="00F17437">
      <w:pPr>
        <w:rPr>
          <w:b/>
        </w:rPr>
      </w:pPr>
      <w:r w:rsidRPr="006115C8">
        <w:rPr>
          <w:b/>
        </w:rPr>
        <w:t>Regarding the EOCs, for those beneficiaries who do not own or use a computer, how will they receive their EOCs?</w:t>
      </w:r>
      <w:r w:rsidRPr="006115C8">
        <w:rPr>
          <w:b/>
        </w:rPr>
        <w:tab/>
      </w:r>
    </w:p>
    <w:p w:rsidR="00F17437" w:rsidRDefault="006115C8" w:rsidP="00F17437">
      <w:r>
        <w:t xml:space="preserve">Plan enrollees will be mailed a Notice explaining that the EOC is now available on the plan website with the URL address.  Additionally, the notice will provide a phone number to call to request a hard copy version of the EOC.      </w:t>
      </w:r>
      <w:r w:rsidR="00F17437">
        <w:tab/>
      </w:r>
    </w:p>
    <w:p w:rsidR="00F17437" w:rsidRDefault="00F17437" w:rsidP="00F17437">
      <w:r>
        <w:tab/>
      </w:r>
      <w:r>
        <w:tab/>
      </w:r>
    </w:p>
    <w:p w:rsidR="00401064" w:rsidRDefault="006115C8" w:rsidP="00F17437">
      <w:r w:rsidRPr="00260BF5">
        <w:rPr>
          <w:b/>
        </w:rPr>
        <w:t>D</w:t>
      </w:r>
      <w:r w:rsidR="00F17437" w:rsidRPr="00260BF5">
        <w:rPr>
          <w:b/>
        </w:rPr>
        <w:t>o you know if a person on hospice could be exempted from an ongoing 7</w:t>
      </w:r>
      <w:r w:rsidR="006B0960">
        <w:rPr>
          <w:b/>
        </w:rPr>
        <w:t xml:space="preserve">- </w:t>
      </w:r>
      <w:r w:rsidR="00F17437" w:rsidRPr="00260BF5">
        <w:rPr>
          <w:b/>
        </w:rPr>
        <w:t>day limitation for opioids if this has been determined that their dosage/ quantity is appropriate?</w:t>
      </w:r>
      <w:r w:rsidR="00F17437">
        <w:tab/>
      </w:r>
    </w:p>
    <w:p w:rsidR="00F17437" w:rsidRDefault="006115C8" w:rsidP="00F17437">
      <w:r>
        <w:t xml:space="preserve">Yes, </w:t>
      </w:r>
      <w:r w:rsidR="00260BF5">
        <w:t xml:space="preserve">beneficiaries who are </w:t>
      </w:r>
      <w:r w:rsidR="002643D5">
        <w:t xml:space="preserve">in hospice care, </w:t>
      </w:r>
      <w:r w:rsidR="00260BF5">
        <w:t xml:space="preserve">residents of a long-term care facility, receiving palliative or end-of-life care, or being treated for active cancer-related pain </w:t>
      </w:r>
      <w:r w:rsidR="002643D5">
        <w:t xml:space="preserve">are exempt </w:t>
      </w:r>
      <w:r w:rsidR="00260BF5">
        <w:t xml:space="preserve">from </w:t>
      </w:r>
      <w:r w:rsidR="002643D5">
        <w:t xml:space="preserve">all </w:t>
      </w:r>
      <w:r w:rsidR="00260BF5">
        <w:t xml:space="preserve">the opioid care coordination </w:t>
      </w:r>
      <w:r w:rsidR="002643D5">
        <w:t>limits including the</w:t>
      </w:r>
      <w:r>
        <w:t xml:space="preserve"> 7</w:t>
      </w:r>
      <w:r w:rsidR="00401064">
        <w:t>-</w:t>
      </w:r>
      <w:r>
        <w:t xml:space="preserve"> day opioid limitation rule.  </w:t>
      </w:r>
      <w:r w:rsidR="00F17437">
        <w:tab/>
      </w:r>
    </w:p>
    <w:p w:rsidR="00F17437" w:rsidRDefault="00F17437" w:rsidP="00F17437">
      <w:r>
        <w:tab/>
      </w:r>
    </w:p>
    <w:p w:rsidR="00F17437" w:rsidRPr="00401064" w:rsidRDefault="00F17437" w:rsidP="00F17437">
      <w:pPr>
        <w:rPr>
          <w:b/>
        </w:rPr>
      </w:pPr>
      <w:r w:rsidRPr="00401064">
        <w:rPr>
          <w:b/>
        </w:rPr>
        <w:t>Would a mail order and a local pharmacy qualify a person for "at risk" or are they looking only at multiple use of retail pharmacies?</w:t>
      </w:r>
      <w:r w:rsidRPr="00401064">
        <w:rPr>
          <w:b/>
        </w:rPr>
        <w:tab/>
      </w:r>
      <w:r w:rsidRPr="00401064">
        <w:rPr>
          <w:b/>
        </w:rPr>
        <w:tab/>
      </w:r>
    </w:p>
    <w:p w:rsidR="00AE1C08" w:rsidRDefault="00401064" w:rsidP="00F17437">
      <w:r>
        <w:lastRenderedPageBreak/>
        <w:t xml:space="preserve">The 2019 Part C and D Call letter and Final Rule did not </w:t>
      </w:r>
      <w:r w:rsidR="006B0960">
        <w:t xml:space="preserve">make a distinction between mail order or retail pharmacies </w:t>
      </w:r>
      <w:r>
        <w:t>in the opioid limitation provisions. Additional guidance is required to answer this question</w:t>
      </w:r>
      <w:r w:rsidR="006B0960">
        <w:t>.</w:t>
      </w:r>
      <w:r w:rsidR="00F17437">
        <w:tab/>
      </w:r>
      <w:r w:rsidR="00F17437">
        <w:tab/>
      </w:r>
    </w:p>
    <w:sectPr w:rsidR="00AE1C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437"/>
    <w:rsid w:val="00025C62"/>
    <w:rsid w:val="000F5F2E"/>
    <w:rsid w:val="001E51CA"/>
    <w:rsid w:val="00260BF5"/>
    <w:rsid w:val="002643D5"/>
    <w:rsid w:val="002668CC"/>
    <w:rsid w:val="002C7D24"/>
    <w:rsid w:val="002E62E3"/>
    <w:rsid w:val="00401064"/>
    <w:rsid w:val="005C0148"/>
    <w:rsid w:val="006115C8"/>
    <w:rsid w:val="00691142"/>
    <w:rsid w:val="006B0960"/>
    <w:rsid w:val="007311A0"/>
    <w:rsid w:val="008343DD"/>
    <w:rsid w:val="008C2BC2"/>
    <w:rsid w:val="00961195"/>
    <w:rsid w:val="009D3486"/>
    <w:rsid w:val="00AE1C08"/>
    <w:rsid w:val="00F1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E676DC-A9B7-44B5-A126-42ADF0AE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5F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5F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ic.org/store/free/MDL-651.pdf?26" TargetMode="External"/><Relationship Id="rId4" Type="http://schemas.openxmlformats.org/officeDocument/2006/relationships/hyperlink" Target="file:///C:\Users\ann.kayrish\Documents\Medicare%20Managed%20Care%20Manual&#8212;Chapter%202&#8212;Section%2030.4.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Kayrish</dc:creator>
  <cp:keywords/>
  <dc:description/>
  <cp:lastModifiedBy>Ann Kayrish</cp:lastModifiedBy>
  <cp:revision>2</cp:revision>
  <dcterms:created xsi:type="dcterms:W3CDTF">2018-06-26T20:24:00Z</dcterms:created>
  <dcterms:modified xsi:type="dcterms:W3CDTF">2018-06-26T20:24:00Z</dcterms:modified>
</cp:coreProperties>
</file>