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979" w:rsidRDefault="00D90979" w:rsidP="00D90979">
      <w:pPr>
        <w:pStyle w:val="NormalWeb"/>
        <w:ind w:left="-1440"/>
        <w:jc w:val="center"/>
        <w:rPr>
          <w:color w:val="000000"/>
        </w:rPr>
      </w:pPr>
      <w:r>
        <w:rPr>
          <w:rStyle w:val="Strong"/>
          <w:color w:val="FFFFFF"/>
          <w:sz w:val="36"/>
          <w:szCs w:val="36"/>
        </w:rPr>
        <w:t>Medicare</w:t>
      </w:r>
      <w:r w:rsidRPr="0076038D">
        <w:rPr>
          <w:smallCaps/>
          <w:noProof/>
          <w:sz w:val="16"/>
          <w:szCs w:val="16"/>
          <w:lang w:eastAsia="en-US"/>
        </w:rPr>
        <w:drawing>
          <wp:inline distT="0" distB="0" distL="0" distR="0" wp14:anchorId="1256DCE7" wp14:editId="29654BDB">
            <wp:extent cx="2668270" cy="819510"/>
            <wp:effectExtent l="0" t="0" r="0" b="0"/>
            <wp:docPr id="3" name="Picture 3" descr="CMSlogrebrnd2col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logrebrnd2coltagline"/>
                    <pic:cNvPicPr>
                      <a:picLocks noChangeAspect="1" noChangeArrowheads="1"/>
                    </pic:cNvPicPr>
                  </pic:nvPicPr>
                  <pic:blipFill>
                    <a:blip r:embed="rId7" cstate="print"/>
                    <a:srcRect/>
                    <a:stretch>
                      <a:fillRect/>
                    </a:stretch>
                  </pic:blipFill>
                  <pic:spPr bwMode="auto">
                    <a:xfrm>
                      <a:off x="0" y="0"/>
                      <a:ext cx="2686840" cy="825214"/>
                    </a:xfrm>
                    <a:prstGeom prst="rect">
                      <a:avLst/>
                    </a:prstGeom>
                    <a:noFill/>
                    <a:ln w="9525">
                      <a:noFill/>
                      <a:miter lim="800000"/>
                      <a:headEnd/>
                      <a:tailEnd/>
                    </a:ln>
                  </pic:spPr>
                </pic:pic>
              </a:graphicData>
            </a:graphic>
          </wp:inline>
        </w:drawing>
      </w:r>
    </w:p>
    <w:p w:rsidR="00D90979" w:rsidRPr="00086AEC" w:rsidRDefault="00D90979" w:rsidP="00D90979">
      <w:pPr>
        <w:jc w:val="center"/>
        <w:rPr>
          <w:rFonts w:asciiTheme="minorHAnsi" w:hAnsiTheme="minorHAnsi" w:cstheme="minorHAnsi"/>
          <w:b/>
          <w:bCs/>
        </w:rPr>
      </w:pPr>
      <w:r w:rsidRPr="00086AEC">
        <w:rPr>
          <w:rFonts w:asciiTheme="minorHAnsi" w:hAnsiTheme="minorHAnsi" w:cstheme="minorHAnsi"/>
          <w:b/>
          <w:bCs/>
        </w:rPr>
        <w:t>National Medicare Education Program (NMEP)</w:t>
      </w:r>
      <w:r>
        <w:rPr>
          <w:rFonts w:asciiTheme="minorHAnsi" w:hAnsiTheme="minorHAnsi" w:cstheme="minorHAnsi"/>
          <w:b/>
          <w:bCs/>
        </w:rPr>
        <w:t xml:space="preserve"> </w:t>
      </w:r>
      <w:r w:rsidRPr="00086AEC">
        <w:rPr>
          <w:rFonts w:asciiTheme="minorHAnsi" w:hAnsiTheme="minorHAnsi" w:cstheme="minorHAnsi"/>
          <w:b/>
          <w:bCs/>
        </w:rPr>
        <w:t>Webinar</w:t>
      </w:r>
    </w:p>
    <w:p w:rsidR="00D90979" w:rsidRDefault="00D90979" w:rsidP="00D90979">
      <w:pPr>
        <w:jc w:val="center"/>
        <w:rPr>
          <w:rFonts w:asciiTheme="minorHAnsi" w:hAnsiTheme="minorHAnsi" w:cstheme="minorHAnsi"/>
          <w:b/>
          <w:bCs/>
        </w:rPr>
      </w:pPr>
      <w:r>
        <w:rPr>
          <w:rFonts w:asciiTheme="minorHAnsi" w:hAnsiTheme="minorHAnsi" w:cstheme="minorHAnsi"/>
          <w:b/>
          <w:bCs/>
        </w:rPr>
        <w:t>Wednesday</w:t>
      </w:r>
      <w:r w:rsidRPr="00086AEC">
        <w:rPr>
          <w:rFonts w:asciiTheme="minorHAnsi" w:hAnsiTheme="minorHAnsi" w:cstheme="minorHAnsi"/>
          <w:b/>
          <w:bCs/>
        </w:rPr>
        <w:t>,</w:t>
      </w:r>
      <w:r w:rsidR="00FD7E93">
        <w:rPr>
          <w:rFonts w:asciiTheme="minorHAnsi" w:hAnsiTheme="minorHAnsi" w:cstheme="minorHAnsi"/>
          <w:b/>
          <w:bCs/>
        </w:rPr>
        <w:t xml:space="preserve"> September</w:t>
      </w:r>
      <w:r w:rsidR="00A0103F">
        <w:rPr>
          <w:rFonts w:asciiTheme="minorHAnsi" w:hAnsiTheme="minorHAnsi" w:cstheme="minorHAnsi"/>
          <w:b/>
          <w:bCs/>
        </w:rPr>
        <w:t xml:space="preserve"> 2</w:t>
      </w:r>
      <w:r w:rsidR="00FD7E93">
        <w:rPr>
          <w:rFonts w:asciiTheme="minorHAnsi" w:hAnsiTheme="minorHAnsi" w:cstheme="minorHAnsi"/>
          <w:b/>
          <w:bCs/>
        </w:rPr>
        <w:t>7</w:t>
      </w:r>
      <w:r w:rsidRPr="00086AEC">
        <w:rPr>
          <w:rFonts w:asciiTheme="minorHAnsi" w:hAnsiTheme="minorHAnsi" w:cstheme="minorHAnsi"/>
          <w:b/>
          <w:bCs/>
        </w:rPr>
        <w:t>, 201</w:t>
      </w:r>
      <w:r>
        <w:rPr>
          <w:rFonts w:asciiTheme="minorHAnsi" w:hAnsiTheme="minorHAnsi" w:cstheme="minorHAnsi"/>
          <w:b/>
          <w:bCs/>
        </w:rPr>
        <w:t>7</w:t>
      </w:r>
    </w:p>
    <w:p w:rsidR="00D90979" w:rsidRDefault="00D90979" w:rsidP="00D90979">
      <w:pPr>
        <w:jc w:val="center"/>
        <w:rPr>
          <w:rFonts w:asciiTheme="minorHAnsi" w:hAnsiTheme="minorHAnsi" w:cstheme="minorHAnsi"/>
          <w:b/>
          <w:bCs/>
        </w:rPr>
      </w:pPr>
      <w:r w:rsidRPr="00086AEC">
        <w:rPr>
          <w:rFonts w:asciiTheme="minorHAnsi" w:hAnsiTheme="minorHAnsi" w:cstheme="minorHAnsi"/>
          <w:b/>
          <w:bCs/>
        </w:rPr>
        <w:t xml:space="preserve"> </w:t>
      </w:r>
      <w:r w:rsidR="00FD7E93">
        <w:rPr>
          <w:rFonts w:asciiTheme="minorHAnsi" w:hAnsiTheme="minorHAnsi" w:cstheme="minorHAnsi"/>
          <w:b/>
          <w:bCs/>
        </w:rPr>
        <w:t>1</w:t>
      </w:r>
      <w:r w:rsidRPr="00086AEC">
        <w:rPr>
          <w:rFonts w:asciiTheme="minorHAnsi" w:hAnsiTheme="minorHAnsi" w:cstheme="minorHAnsi"/>
          <w:b/>
          <w:bCs/>
        </w:rPr>
        <w:t xml:space="preserve">:00 p.m. to </w:t>
      </w:r>
      <w:r w:rsidR="00FD7E93">
        <w:rPr>
          <w:rFonts w:asciiTheme="minorHAnsi" w:hAnsiTheme="minorHAnsi" w:cstheme="minorHAnsi"/>
          <w:b/>
          <w:bCs/>
        </w:rPr>
        <w:t>2</w:t>
      </w:r>
      <w:r>
        <w:rPr>
          <w:rFonts w:asciiTheme="minorHAnsi" w:hAnsiTheme="minorHAnsi" w:cstheme="minorHAnsi"/>
          <w:b/>
          <w:bCs/>
        </w:rPr>
        <w:t>:</w:t>
      </w:r>
      <w:r>
        <w:rPr>
          <w:rFonts w:asciiTheme="minorHAnsi" w:hAnsiTheme="minorHAnsi" w:cstheme="minorHAnsi" w:hint="eastAsia"/>
          <w:b/>
          <w:bCs/>
        </w:rPr>
        <w:t>3</w:t>
      </w:r>
      <w:r w:rsidRPr="00086AEC">
        <w:rPr>
          <w:rFonts w:asciiTheme="minorHAnsi" w:hAnsiTheme="minorHAnsi" w:cstheme="minorHAnsi"/>
          <w:b/>
          <w:bCs/>
        </w:rPr>
        <w:t>0 p.m. E</w:t>
      </w:r>
      <w:r>
        <w:rPr>
          <w:rFonts w:asciiTheme="minorHAnsi" w:hAnsiTheme="minorHAnsi" w:cstheme="minorHAnsi"/>
          <w:b/>
          <w:bCs/>
        </w:rPr>
        <w:t>S</w:t>
      </w:r>
      <w:r w:rsidRPr="00086AEC">
        <w:rPr>
          <w:rFonts w:asciiTheme="minorHAnsi" w:hAnsiTheme="minorHAnsi" w:cstheme="minorHAnsi"/>
          <w:b/>
          <w:bCs/>
        </w:rPr>
        <w:t>T</w:t>
      </w:r>
    </w:p>
    <w:p w:rsidR="00D90979" w:rsidRDefault="00D90979" w:rsidP="00D90979">
      <w:pPr>
        <w:jc w:val="center"/>
        <w:rPr>
          <w:rFonts w:asciiTheme="minorHAnsi" w:hAnsiTheme="minorHAnsi" w:cstheme="minorHAnsi"/>
          <w:b/>
          <w:bCs/>
        </w:rPr>
      </w:pPr>
    </w:p>
    <w:p w:rsidR="00D90979" w:rsidRDefault="00D90979" w:rsidP="00D90979">
      <w:pPr>
        <w:jc w:val="center"/>
        <w:rPr>
          <w:rFonts w:asciiTheme="minorHAnsi" w:hAnsiTheme="minorHAnsi" w:cstheme="minorHAnsi"/>
          <w:b/>
          <w:bCs/>
        </w:rPr>
      </w:pPr>
      <w:r w:rsidRPr="002318DB">
        <w:rPr>
          <w:rFonts w:asciiTheme="minorHAnsi" w:hAnsiTheme="minorHAnsi" w:cstheme="minorHAnsi"/>
          <w:b/>
          <w:bCs/>
        </w:rPr>
        <w:t xml:space="preserve">Participant Dial in Number: 1-800-837-1935, Conference ID: </w:t>
      </w:r>
      <w:r w:rsidR="00FD7E93">
        <w:rPr>
          <w:rStyle w:val="rednote1"/>
          <w:rFonts w:ascii="Calibri" w:hAnsi="Calibri" w:cs="Arial"/>
          <w:color w:val="auto"/>
          <w:sz w:val="24"/>
          <w:szCs w:val="37"/>
        </w:rPr>
        <w:t>66875792</w:t>
      </w:r>
    </w:p>
    <w:p w:rsidR="00FD7E93" w:rsidRDefault="00D90979" w:rsidP="00D90979">
      <w:pPr>
        <w:jc w:val="center"/>
        <w:rPr>
          <w:rFonts w:ascii="Verdana" w:hAnsi="Verdana"/>
          <w:b/>
          <w:bCs/>
          <w:sz w:val="18"/>
          <w:szCs w:val="18"/>
        </w:rPr>
      </w:pPr>
      <w:r w:rsidRPr="00106706">
        <w:rPr>
          <w:rFonts w:asciiTheme="minorHAnsi" w:hAnsiTheme="minorHAnsi"/>
          <w:b/>
          <w:bCs/>
        </w:rPr>
        <w:t xml:space="preserve">Webinar Link: </w:t>
      </w:r>
      <w:hyperlink r:id="rId8" w:history="1">
        <w:r w:rsidR="00FD7E93" w:rsidRPr="009223CA">
          <w:rPr>
            <w:rStyle w:val="Hyperlink"/>
            <w:rFonts w:asciiTheme="minorHAnsi" w:hAnsiTheme="minorHAnsi"/>
            <w:b/>
            <w:bCs/>
            <w:szCs w:val="18"/>
          </w:rPr>
          <w:t>https://webinar.cms.hhs.gov/nmep09272017/</w:t>
        </w:r>
      </w:hyperlink>
      <w:r w:rsidR="00FD7E93">
        <w:rPr>
          <w:rFonts w:ascii="Verdana" w:hAnsi="Verdana"/>
          <w:b/>
          <w:bCs/>
          <w:sz w:val="18"/>
          <w:szCs w:val="18"/>
        </w:rPr>
        <w:t xml:space="preserve"> </w:t>
      </w:r>
    </w:p>
    <w:p w:rsidR="00D90979" w:rsidRPr="002318DB" w:rsidRDefault="00D90979" w:rsidP="00D90979">
      <w:pPr>
        <w:jc w:val="center"/>
        <w:rPr>
          <w:rFonts w:asciiTheme="minorHAnsi" w:hAnsiTheme="minorHAnsi" w:cstheme="minorHAnsi"/>
          <w:b/>
          <w:bCs/>
        </w:rPr>
      </w:pPr>
      <w:r w:rsidRPr="002318DB">
        <w:rPr>
          <w:rFonts w:asciiTheme="minorHAnsi" w:hAnsiTheme="minorHAnsi" w:cs="Calibri,Bold"/>
          <w:b/>
          <w:bCs/>
          <w:color w:val="FF0000"/>
        </w:rPr>
        <w:t xml:space="preserve">Please join the Audio </w:t>
      </w:r>
      <w:r>
        <w:rPr>
          <w:rFonts w:asciiTheme="minorHAnsi" w:hAnsiTheme="minorHAnsi" w:cs="Calibri,Bold"/>
          <w:b/>
          <w:bCs/>
          <w:color w:val="FF0000"/>
        </w:rPr>
        <w:t xml:space="preserve">and Webinar </w:t>
      </w:r>
      <w:r w:rsidRPr="002318DB">
        <w:rPr>
          <w:rFonts w:asciiTheme="minorHAnsi" w:hAnsiTheme="minorHAnsi" w:cs="Calibri,Bold"/>
          <w:b/>
          <w:bCs/>
          <w:color w:val="FF0000"/>
        </w:rPr>
        <w:t>Call</w:t>
      </w:r>
    </w:p>
    <w:p w:rsidR="00D90979" w:rsidRPr="002318DB" w:rsidRDefault="00D90979" w:rsidP="00D90979">
      <w:pPr>
        <w:jc w:val="center"/>
        <w:rPr>
          <w:rFonts w:asciiTheme="minorHAnsi" w:hAnsiTheme="minorHAnsi" w:cstheme="minorHAnsi"/>
          <w:b/>
          <w:bCs/>
          <w:color w:val="44546A" w:themeColor="text2"/>
          <w:szCs w:val="28"/>
        </w:rPr>
      </w:pPr>
    </w:p>
    <w:p w:rsidR="00D90979" w:rsidRPr="00353744" w:rsidRDefault="00D90979" w:rsidP="00D90979">
      <w:pPr>
        <w:tabs>
          <w:tab w:val="left" w:pos="1440"/>
        </w:tabs>
        <w:rPr>
          <w:rFonts w:asciiTheme="minorHAnsi" w:hAnsiTheme="minorHAnsi" w:cstheme="minorHAnsi"/>
          <w:b/>
          <w:bCs/>
          <w:color w:val="3914C2"/>
          <w:sz w:val="22"/>
          <w:szCs w:val="22"/>
        </w:rPr>
      </w:pPr>
      <w:r w:rsidRPr="00353744">
        <w:rPr>
          <w:rFonts w:asciiTheme="minorHAnsi" w:hAnsiTheme="minorHAnsi" w:cstheme="minorHAnsi" w:hint="eastAsia"/>
          <w:b/>
          <w:bCs/>
          <w:color w:val="3914C2"/>
          <w:sz w:val="22"/>
          <w:szCs w:val="22"/>
        </w:rPr>
        <w:t xml:space="preserve">Welcome </w:t>
      </w:r>
      <w:r w:rsidRPr="00353744">
        <w:rPr>
          <w:rFonts w:asciiTheme="minorHAnsi" w:hAnsiTheme="minorHAnsi" w:cstheme="minorHAnsi"/>
          <w:b/>
          <w:bCs/>
          <w:color w:val="3914C2"/>
          <w:sz w:val="22"/>
          <w:szCs w:val="22"/>
        </w:rPr>
        <w:t xml:space="preserve">and </w:t>
      </w:r>
      <w:r w:rsidRPr="00353744">
        <w:rPr>
          <w:rFonts w:asciiTheme="minorHAnsi" w:hAnsiTheme="minorHAnsi" w:cstheme="minorHAnsi" w:hint="eastAsia"/>
          <w:b/>
          <w:bCs/>
          <w:color w:val="3914C2"/>
          <w:sz w:val="22"/>
          <w:szCs w:val="22"/>
        </w:rPr>
        <w:t>Opening Remarks</w:t>
      </w:r>
    </w:p>
    <w:p w:rsidR="00D90979" w:rsidRDefault="00D90979" w:rsidP="00D90979">
      <w:pPr>
        <w:ind w:firstLine="360"/>
        <w:rPr>
          <w:rFonts w:asciiTheme="minorHAnsi" w:hAnsiTheme="minorHAnsi" w:cstheme="minorHAnsi"/>
          <w:b/>
          <w:bCs/>
          <w:i/>
          <w:sz w:val="22"/>
          <w:szCs w:val="22"/>
        </w:rPr>
      </w:pPr>
    </w:p>
    <w:p w:rsidR="00D90979" w:rsidRPr="00086AEC" w:rsidRDefault="00FD7E93" w:rsidP="004E02D2">
      <w:pPr>
        <w:rPr>
          <w:rFonts w:asciiTheme="minorHAnsi" w:hAnsiTheme="minorHAnsi" w:cstheme="minorHAnsi"/>
          <w:bCs/>
          <w:i/>
          <w:sz w:val="22"/>
          <w:szCs w:val="22"/>
        </w:rPr>
      </w:pPr>
      <w:r>
        <w:rPr>
          <w:rFonts w:asciiTheme="minorHAnsi" w:hAnsiTheme="minorHAnsi" w:cstheme="minorHAnsi"/>
          <w:b/>
          <w:bCs/>
          <w:i/>
          <w:sz w:val="22"/>
          <w:szCs w:val="22"/>
        </w:rPr>
        <w:t>Susie Butler</w:t>
      </w:r>
      <w:r w:rsidR="00D90979" w:rsidRPr="00086AEC">
        <w:rPr>
          <w:rFonts w:asciiTheme="minorHAnsi" w:hAnsiTheme="minorHAnsi" w:cstheme="minorHAnsi" w:hint="eastAsia"/>
          <w:bCs/>
          <w:i/>
          <w:sz w:val="22"/>
          <w:szCs w:val="22"/>
        </w:rPr>
        <w:t>,</w:t>
      </w:r>
      <w:r w:rsidR="00D90979" w:rsidRPr="006277F1">
        <w:rPr>
          <w:rFonts w:asciiTheme="minorHAnsi" w:hAnsiTheme="minorHAnsi"/>
          <w:i/>
          <w:sz w:val="22"/>
          <w:szCs w:val="22"/>
        </w:rPr>
        <w:t xml:space="preserve"> </w:t>
      </w:r>
      <w:r w:rsidR="00D90979" w:rsidRPr="00086AEC">
        <w:rPr>
          <w:rFonts w:asciiTheme="minorHAnsi" w:hAnsiTheme="minorHAnsi" w:cstheme="minorHAnsi"/>
          <w:bCs/>
          <w:i/>
          <w:sz w:val="22"/>
          <w:szCs w:val="22"/>
        </w:rPr>
        <w:t>Director, Partner Relations Group, Office of Communications</w:t>
      </w:r>
      <w:r w:rsidR="00D90979">
        <w:rPr>
          <w:rFonts w:asciiTheme="minorHAnsi" w:hAnsiTheme="minorHAnsi" w:cstheme="minorHAnsi"/>
          <w:bCs/>
          <w:i/>
          <w:sz w:val="22"/>
          <w:szCs w:val="22"/>
        </w:rPr>
        <w:t>, CMS</w:t>
      </w:r>
    </w:p>
    <w:p w:rsidR="00D90979" w:rsidRPr="002318DB" w:rsidRDefault="00D90979" w:rsidP="00D90979">
      <w:pPr>
        <w:pStyle w:val="ListParagraph"/>
        <w:tabs>
          <w:tab w:val="left" w:pos="2820"/>
          <w:tab w:val="left" w:pos="3240"/>
          <w:tab w:val="left" w:pos="6840"/>
        </w:tabs>
        <w:ind w:left="0"/>
        <w:rPr>
          <w:rFonts w:asciiTheme="minorHAnsi" w:eastAsia="Malgun Gothic" w:hAnsiTheme="minorHAnsi"/>
          <w:b/>
          <w:bCs/>
          <w:color w:val="44546A" w:themeColor="text2"/>
          <w:sz w:val="20"/>
          <w:szCs w:val="22"/>
        </w:rPr>
      </w:pPr>
    </w:p>
    <w:p w:rsidR="004E02D2" w:rsidRDefault="00594216" w:rsidP="004E02D2">
      <w:pPr>
        <w:tabs>
          <w:tab w:val="left" w:pos="360"/>
          <w:tab w:val="left" w:pos="2820"/>
          <w:tab w:val="left" w:pos="3240"/>
          <w:tab w:val="left" w:pos="6840"/>
        </w:tabs>
        <w:rPr>
          <w:rFonts w:asciiTheme="minorHAnsi" w:hAnsiTheme="minorHAnsi"/>
          <w:b/>
          <w:bCs/>
          <w:color w:val="3914C2"/>
          <w:sz w:val="22"/>
        </w:rPr>
      </w:pPr>
      <w:r>
        <w:rPr>
          <w:rFonts w:asciiTheme="minorHAnsi" w:hAnsiTheme="minorHAnsi"/>
          <w:b/>
          <w:bCs/>
          <w:color w:val="3914C2"/>
          <w:sz w:val="22"/>
        </w:rPr>
        <w:t>Introduction of Ombudsman</w:t>
      </w:r>
    </w:p>
    <w:p w:rsidR="00594216" w:rsidRDefault="00594216" w:rsidP="004E02D2">
      <w:pPr>
        <w:tabs>
          <w:tab w:val="left" w:pos="360"/>
          <w:tab w:val="left" w:pos="2820"/>
          <w:tab w:val="left" w:pos="3240"/>
          <w:tab w:val="left" w:pos="6840"/>
        </w:tabs>
        <w:rPr>
          <w:rFonts w:asciiTheme="minorHAnsi" w:eastAsia="Malgun Gothic" w:hAnsiTheme="minorHAnsi"/>
          <w:b/>
          <w:bCs/>
          <w:color w:val="000099"/>
          <w:sz w:val="22"/>
          <w:szCs w:val="22"/>
        </w:rPr>
      </w:pPr>
    </w:p>
    <w:p w:rsidR="00D90979" w:rsidRDefault="00FD7E93" w:rsidP="004E02D2">
      <w:pPr>
        <w:tabs>
          <w:tab w:val="left" w:pos="360"/>
          <w:tab w:val="left" w:pos="2820"/>
          <w:tab w:val="left" w:pos="3240"/>
          <w:tab w:val="left" w:pos="6840"/>
        </w:tabs>
        <w:rPr>
          <w:rFonts w:asciiTheme="minorHAnsi" w:eastAsia="Malgun Gothic" w:hAnsiTheme="minorHAnsi"/>
          <w:bCs/>
          <w:i/>
          <w:sz w:val="22"/>
          <w:szCs w:val="22"/>
        </w:rPr>
      </w:pPr>
      <w:r>
        <w:rPr>
          <w:rFonts w:asciiTheme="minorHAnsi" w:eastAsia="Malgun Gothic" w:hAnsiTheme="minorHAnsi"/>
          <w:b/>
          <w:bCs/>
          <w:i/>
          <w:sz w:val="22"/>
          <w:szCs w:val="22"/>
        </w:rPr>
        <w:t>Catherine Rippey</w:t>
      </w:r>
      <w:r w:rsidRPr="00D727C8">
        <w:rPr>
          <w:rFonts w:asciiTheme="minorHAnsi" w:eastAsia="Malgun Gothic" w:hAnsiTheme="minorHAnsi"/>
          <w:bCs/>
          <w:i/>
          <w:sz w:val="22"/>
          <w:szCs w:val="22"/>
        </w:rPr>
        <w:t>,</w:t>
      </w:r>
      <w:r>
        <w:rPr>
          <w:rFonts w:asciiTheme="minorHAnsi" w:eastAsia="Malgun Gothic" w:hAnsiTheme="minorHAnsi"/>
          <w:b/>
          <w:bCs/>
          <w:i/>
          <w:sz w:val="22"/>
          <w:szCs w:val="22"/>
        </w:rPr>
        <w:t xml:space="preserve"> </w:t>
      </w:r>
      <w:r w:rsidRPr="00FD7E93">
        <w:rPr>
          <w:rFonts w:asciiTheme="minorHAnsi" w:eastAsia="Malgun Gothic" w:hAnsiTheme="minorHAnsi"/>
          <w:bCs/>
          <w:i/>
          <w:sz w:val="22"/>
          <w:szCs w:val="22"/>
        </w:rPr>
        <w:t>Medicare Beneficiary Ombudsman</w:t>
      </w:r>
      <w:r w:rsidR="00594216">
        <w:rPr>
          <w:rFonts w:asciiTheme="minorHAnsi" w:hAnsiTheme="minorHAnsi"/>
          <w:i/>
          <w:sz w:val="22"/>
          <w:szCs w:val="22"/>
        </w:rPr>
        <w:t xml:space="preserve">, </w:t>
      </w:r>
      <w:r w:rsidR="00594216">
        <w:rPr>
          <w:rFonts w:asciiTheme="minorHAnsi" w:eastAsia="Malgun Gothic" w:hAnsiTheme="minorHAnsi"/>
          <w:bCs/>
          <w:i/>
          <w:sz w:val="22"/>
          <w:szCs w:val="22"/>
        </w:rPr>
        <w:t>Office of Hearings and Inquires, CMS</w:t>
      </w:r>
    </w:p>
    <w:p w:rsidR="00C22004" w:rsidRDefault="00C22004" w:rsidP="004E02D2">
      <w:pPr>
        <w:tabs>
          <w:tab w:val="left" w:pos="360"/>
          <w:tab w:val="left" w:pos="2820"/>
          <w:tab w:val="left" w:pos="3240"/>
          <w:tab w:val="left" w:pos="6840"/>
        </w:tabs>
        <w:rPr>
          <w:rFonts w:asciiTheme="minorHAnsi" w:eastAsia="Malgun Gothic" w:hAnsiTheme="minorHAnsi"/>
          <w:bCs/>
          <w:i/>
          <w:sz w:val="22"/>
          <w:szCs w:val="22"/>
        </w:rPr>
      </w:pPr>
    </w:p>
    <w:p w:rsidR="00C22004" w:rsidRPr="00C22004" w:rsidRDefault="00C22004" w:rsidP="004E02D2">
      <w:pPr>
        <w:tabs>
          <w:tab w:val="left" w:pos="360"/>
          <w:tab w:val="left" w:pos="2820"/>
          <w:tab w:val="left" w:pos="3240"/>
          <w:tab w:val="left" w:pos="6840"/>
        </w:tabs>
        <w:rPr>
          <w:rFonts w:asciiTheme="minorHAnsi" w:eastAsia="Malgun Gothic" w:hAnsiTheme="minorHAnsi"/>
          <w:bCs/>
          <w:i/>
          <w:sz w:val="22"/>
          <w:szCs w:val="22"/>
        </w:rPr>
      </w:pPr>
      <w:r>
        <w:rPr>
          <w:rFonts w:asciiTheme="minorHAnsi" w:eastAsia="Malgun Gothic" w:hAnsiTheme="minorHAnsi"/>
          <w:bCs/>
          <w:i/>
          <w:sz w:val="22"/>
          <w:szCs w:val="22"/>
        </w:rPr>
        <w:t>Discussion of the MBO’s role, general focus areas and coordination of various external and internal partner that monitor the Medicare beneficiary’s experience with the program.</w:t>
      </w:r>
    </w:p>
    <w:p w:rsidR="00D90979" w:rsidRDefault="00D90979" w:rsidP="00D90979">
      <w:pPr>
        <w:pStyle w:val="ListParagraph"/>
        <w:tabs>
          <w:tab w:val="left" w:pos="360"/>
          <w:tab w:val="left" w:pos="2820"/>
          <w:tab w:val="left" w:pos="3240"/>
          <w:tab w:val="left" w:pos="6840"/>
        </w:tabs>
        <w:ind w:left="0"/>
        <w:rPr>
          <w:rFonts w:asciiTheme="minorHAnsi" w:eastAsia="Malgun Gothic" w:hAnsiTheme="minorHAnsi"/>
          <w:b/>
          <w:bCs/>
          <w:color w:val="000099"/>
          <w:sz w:val="22"/>
          <w:szCs w:val="22"/>
        </w:rPr>
      </w:pPr>
    </w:p>
    <w:p w:rsidR="00D90979" w:rsidRPr="005F55B6" w:rsidRDefault="00EB4151" w:rsidP="00EB4151">
      <w:pPr>
        <w:pStyle w:val="ListParagraph"/>
        <w:tabs>
          <w:tab w:val="left" w:pos="360"/>
          <w:tab w:val="left" w:pos="2820"/>
          <w:tab w:val="left" w:pos="3240"/>
          <w:tab w:val="left" w:pos="6840"/>
        </w:tabs>
        <w:ind w:left="0"/>
        <w:rPr>
          <w:rFonts w:asciiTheme="minorHAnsi" w:eastAsia="Malgun Gothic" w:hAnsiTheme="minorHAnsi"/>
          <w:b/>
          <w:bCs/>
          <w:color w:val="44546A" w:themeColor="text2"/>
          <w:sz w:val="22"/>
          <w:szCs w:val="22"/>
        </w:rPr>
      </w:pPr>
      <w:r>
        <w:rPr>
          <w:rFonts w:asciiTheme="minorHAnsi" w:eastAsia="Malgun Gothic" w:hAnsiTheme="minorHAnsi"/>
          <w:b/>
          <w:bCs/>
          <w:color w:val="3914C2"/>
          <w:sz w:val="22"/>
          <w:szCs w:val="22"/>
        </w:rPr>
        <w:t>Opioid Toolkit</w:t>
      </w:r>
    </w:p>
    <w:p w:rsidR="00D90979" w:rsidRDefault="00D90979" w:rsidP="00D90979">
      <w:pPr>
        <w:tabs>
          <w:tab w:val="left" w:pos="360"/>
        </w:tabs>
        <w:rPr>
          <w:rFonts w:asciiTheme="minorHAnsi" w:eastAsia="Malgun Gothic" w:hAnsiTheme="minorHAnsi"/>
          <w:b/>
          <w:bCs/>
          <w:i/>
          <w:sz w:val="22"/>
          <w:szCs w:val="22"/>
        </w:rPr>
      </w:pPr>
    </w:p>
    <w:p w:rsidR="000A3DF9" w:rsidRPr="000A3DF9" w:rsidRDefault="00EB4151" w:rsidP="000A3DF9">
      <w:pPr>
        <w:rPr>
          <w:rFonts w:asciiTheme="minorHAnsi" w:eastAsiaTheme="minorHAnsi" w:hAnsiTheme="minorHAnsi"/>
          <w:i/>
          <w:sz w:val="22"/>
          <w:szCs w:val="20"/>
          <w:lang w:eastAsia="en-US"/>
        </w:rPr>
      </w:pPr>
      <w:r>
        <w:rPr>
          <w:rFonts w:asciiTheme="minorHAnsi" w:eastAsia="Malgun Gothic" w:hAnsiTheme="minorHAnsi"/>
          <w:b/>
          <w:bCs/>
          <w:i/>
          <w:sz w:val="22"/>
          <w:szCs w:val="22"/>
        </w:rPr>
        <w:t>Lisa Carr</w:t>
      </w:r>
      <w:r w:rsidR="00082A09" w:rsidRPr="00D727C8">
        <w:rPr>
          <w:rFonts w:asciiTheme="minorHAnsi" w:eastAsia="Malgun Gothic" w:hAnsiTheme="minorHAnsi"/>
          <w:bCs/>
          <w:i/>
          <w:sz w:val="22"/>
          <w:szCs w:val="22"/>
        </w:rPr>
        <w:t>,</w:t>
      </w:r>
      <w:r w:rsidR="00D90979" w:rsidRPr="005F55B6">
        <w:rPr>
          <w:rFonts w:asciiTheme="minorHAnsi" w:eastAsia="Malgun Gothic" w:hAnsiTheme="minorHAnsi"/>
          <w:b/>
          <w:bCs/>
          <w:i/>
          <w:sz w:val="22"/>
          <w:szCs w:val="22"/>
        </w:rPr>
        <w:t xml:space="preserve"> </w:t>
      </w:r>
      <w:r w:rsidRPr="00EB4151">
        <w:rPr>
          <w:rFonts w:asciiTheme="minorHAnsi" w:eastAsia="Malgun Gothic" w:hAnsiTheme="minorHAnsi"/>
          <w:bCs/>
          <w:i/>
          <w:sz w:val="22"/>
          <w:szCs w:val="22"/>
        </w:rPr>
        <w:t>Health Insurance Specialist,</w:t>
      </w:r>
      <w:r>
        <w:rPr>
          <w:rFonts w:asciiTheme="minorHAnsi" w:eastAsia="Malgun Gothic" w:hAnsiTheme="minorHAnsi"/>
          <w:b/>
          <w:bCs/>
          <w:i/>
          <w:sz w:val="22"/>
          <w:szCs w:val="22"/>
        </w:rPr>
        <w:t xml:space="preserve"> </w:t>
      </w:r>
      <w:r w:rsidRPr="00086AEC">
        <w:rPr>
          <w:rFonts w:asciiTheme="minorHAnsi" w:hAnsiTheme="minorHAnsi" w:cstheme="minorHAnsi"/>
          <w:bCs/>
          <w:i/>
          <w:sz w:val="22"/>
          <w:szCs w:val="22"/>
        </w:rPr>
        <w:t>Office of Communications</w:t>
      </w:r>
      <w:r>
        <w:rPr>
          <w:rFonts w:asciiTheme="minorHAnsi" w:hAnsiTheme="minorHAnsi" w:cstheme="minorHAnsi"/>
          <w:bCs/>
          <w:i/>
          <w:sz w:val="22"/>
          <w:szCs w:val="22"/>
        </w:rPr>
        <w:t>, CMS</w:t>
      </w:r>
    </w:p>
    <w:p w:rsidR="00D90979" w:rsidRDefault="00D90979" w:rsidP="00D90979">
      <w:pPr>
        <w:tabs>
          <w:tab w:val="left" w:pos="360"/>
        </w:tabs>
        <w:rPr>
          <w:rFonts w:asciiTheme="minorHAnsi" w:eastAsia="Malgun Gothic" w:hAnsiTheme="minorHAnsi"/>
          <w:bCs/>
          <w:i/>
          <w:sz w:val="22"/>
          <w:szCs w:val="22"/>
        </w:rPr>
      </w:pPr>
    </w:p>
    <w:p w:rsidR="001332C2" w:rsidRPr="009A3F29" w:rsidRDefault="001332C2" w:rsidP="001332C2">
      <w:pPr>
        <w:rPr>
          <w:rFonts w:asciiTheme="minorHAnsi" w:eastAsiaTheme="minorHAnsi" w:hAnsiTheme="minorHAnsi" w:cs="Arial"/>
          <w:i/>
          <w:color w:val="000000" w:themeColor="text1"/>
          <w:sz w:val="22"/>
          <w:lang w:eastAsia="en-US"/>
        </w:rPr>
      </w:pPr>
      <w:r w:rsidRPr="009A3F29">
        <w:rPr>
          <w:rFonts w:asciiTheme="minorHAnsi" w:hAnsiTheme="minorHAnsi" w:cs="Arial"/>
          <w:i/>
          <w:color w:val="000000" w:themeColor="text1"/>
          <w:sz w:val="22"/>
        </w:rPr>
        <w:t>The HHS Partnership Center has created a toolkit for community organizations to help equip leaders in addressing the opioid epidemic. Learn more about the toolkit and what you can do to help those impacted by opioids. Opportunities to engage with social media and with community coalitions will also be shared.</w:t>
      </w:r>
    </w:p>
    <w:p w:rsidR="001332C2" w:rsidRDefault="001332C2" w:rsidP="001332C2">
      <w:pPr>
        <w:tabs>
          <w:tab w:val="left" w:pos="360"/>
        </w:tabs>
        <w:rPr>
          <w:rFonts w:asciiTheme="minorHAnsi" w:eastAsia="Malgun Gothic" w:hAnsiTheme="minorHAnsi"/>
          <w:bCs/>
          <w:i/>
          <w:sz w:val="22"/>
          <w:szCs w:val="22"/>
        </w:rPr>
      </w:pPr>
    </w:p>
    <w:p w:rsidR="001332C2" w:rsidRDefault="001332C2" w:rsidP="001332C2">
      <w:pPr>
        <w:tabs>
          <w:tab w:val="left" w:pos="360"/>
        </w:tabs>
        <w:rPr>
          <w:rFonts w:asciiTheme="minorHAnsi" w:hAnsiTheme="minorHAnsi"/>
          <w:b/>
          <w:color w:val="44546A" w:themeColor="text2"/>
          <w:sz w:val="22"/>
        </w:rPr>
      </w:pPr>
      <w:r>
        <w:rPr>
          <w:rFonts w:asciiTheme="minorHAnsi" w:hAnsiTheme="minorHAnsi"/>
          <w:b/>
          <w:color w:val="3914C2"/>
          <w:sz w:val="22"/>
        </w:rPr>
        <w:t>Hospice Compare Tool</w:t>
      </w:r>
    </w:p>
    <w:p w:rsidR="001332C2" w:rsidRPr="00B83465" w:rsidRDefault="001332C2" w:rsidP="001332C2">
      <w:pPr>
        <w:tabs>
          <w:tab w:val="left" w:pos="360"/>
        </w:tabs>
        <w:rPr>
          <w:rFonts w:asciiTheme="minorHAnsi" w:eastAsia="Malgun Gothic" w:hAnsiTheme="minorHAnsi"/>
          <w:b/>
          <w:bCs/>
          <w:i/>
          <w:color w:val="44546A" w:themeColor="text2"/>
          <w:sz w:val="20"/>
          <w:szCs w:val="22"/>
        </w:rPr>
      </w:pPr>
    </w:p>
    <w:p w:rsidR="001332C2" w:rsidRDefault="001332C2" w:rsidP="001332C2">
      <w:pPr>
        <w:rPr>
          <w:rFonts w:asciiTheme="minorHAnsi" w:eastAsiaTheme="minorHAnsi" w:hAnsiTheme="minorHAnsi"/>
          <w:sz w:val="22"/>
          <w:szCs w:val="22"/>
          <w:lang w:eastAsia="en-US"/>
        </w:rPr>
      </w:pPr>
      <w:r>
        <w:rPr>
          <w:rFonts w:asciiTheme="minorHAnsi" w:eastAsia="Malgun Gothic" w:hAnsiTheme="minorHAnsi"/>
          <w:b/>
          <w:bCs/>
          <w:i/>
          <w:sz w:val="22"/>
          <w:szCs w:val="22"/>
        </w:rPr>
        <w:t>Charles Padgett</w:t>
      </w:r>
      <w:r w:rsidRPr="005C5186">
        <w:rPr>
          <w:rFonts w:asciiTheme="minorHAnsi" w:eastAsia="Malgun Gothic" w:hAnsiTheme="minorHAnsi"/>
          <w:bCs/>
          <w:sz w:val="22"/>
          <w:szCs w:val="22"/>
        </w:rPr>
        <w:t xml:space="preserve">, </w:t>
      </w:r>
      <w:r w:rsidRPr="005C5186">
        <w:rPr>
          <w:rFonts w:asciiTheme="minorHAnsi" w:hAnsiTheme="minorHAnsi"/>
          <w:i/>
          <w:sz w:val="22"/>
          <w:szCs w:val="22"/>
        </w:rPr>
        <w:t>RN</w:t>
      </w:r>
      <w:r w:rsidRPr="005C5186">
        <w:rPr>
          <w:rFonts w:asciiTheme="minorHAnsi" w:eastAsiaTheme="minorHAnsi" w:hAnsiTheme="minorHAnsi"/>
          <w:i/>
          <w:sz w:val="22"/>
          <w:szCs w:val="22"/>
          <w:lang w:eastAsia="en-US"/>
        </w:rPr>
        <w:t xml:space="preserve">, </w:t>
      </w:r>
      <w:r w:rsidRPr="005C5186">
        <w:rPr>
          <w:rFonts w:asciiTheme="minorHAnsi" w:hAnsiTheme="minorHAnsi"/>
          <w:i/>
          <w:sz w:val="22"/>
          <w:szCs w:val="22"/>
        </w:rPr>
        <w:t>Nurse Consultant, Division of Chronic and Post-Acute Care,</w:t>
      </w:r>
      <w:r w:rsidRPr="005C5186">
        <w:t xml:space="preserve"> </w:t>
      </w:r>
      <w:r>
        <w:rPr>
          <w:rFonts w:asciiTheme="minorHAnsi" w:eastAsia="Malgun Gothic" w:hAnsiTheme="minorHAnsi"/>
          <w:bCs/>
          <w:i/>
          <w:sz w:val="22"/>
          <w:szCs w:val="22"/>
        </w:rPr>
        <w:t>Center of Clinical Standards and Quality, CMS</w:t>
      </w:r>
    </w:p>
    <w:p w:rsidR="001332C2" w:rsidRPr="005C5186" w:rsidRDefault="001332C2" w:rsidP="001332C2">
      <w:pPr>
        <w:rPr>
          <w:rFonts w:asciiTheme="minorHAnsi" w:eastAsiaTheme="minorHAnsi" w:hAnsiTheme="minorHAnsi"/>
          <w:sz w:val="22"/>
          <w:szCs w:val="22"/>
          <w:lang w:eastAsia="en-US"/>
        </w:rPr>
      </w:pPr>
    </w:p>
    <w:p w:rsidR="001332C2" w:rsidRDefault="001332C2" w:rsidP="001332C2">
      <w:pPr>
        <w:rPr>
          <w:rFonts w:asciiTheme="minorHAnsi" w:eastAsia="Malgun Gothic" w:hAnsiTheme="minorHAnsi"/>
          <w:b/>
          <w:bCs/>
          <w:i/>
          <w:sz w:val="22"/>
          <w:szCs w:val="22"/>
        </w:rPr>
      </w:pPr>
      <w:r>
        <w:rPr>
          <w:rFonts w:asciiTheme="minorHAnsi" w:hAnsiTheme="minorHAnsi"/>
          <w:i/>
          <w:sz w:val="22"/>
          <w:szCs w:val="22"/>
        </w:rPr>
        <w:t>Discussion of</w:t>
      </w:r>
      <w:r w:rsidRPr="007A376A">
        <w:rPr>
          <w:rFonts w:asciiTheme="minorHAnsi" w:hAnsiTheme="minorHAnsi"/>
          <w:i/>
          <w:sz w:val="22"/>
          <w:szCs w:val="22"/>
        </w:rPr>
        <w:t xml:space="preserve"> the new CMS Hospice Compare website, which was launched on August 16, 2017, including the information that is contained within the website that consumers may find helpful when choosing a Hospice.    </w:t>
      </w:r>
    </w:p>
    <w:p w:rsidR="001332C2" w:rsidRPr="00E6682E" w:rsidRDefault="001332C2" w:rsidP="001332C2">
      <w:pPr>
        <w:rPr>
          <w:rFonts w:eastAsiaTheme="minorHAnsi"/>
          <w:sz w:val="22"/>
          <w:szCs w:val="22"/>
          <w:lang w:eastAsia="en-US"/>
        </w:rPr>
      </w:pPr>
    </w:p>
    <w:p w:rsidR="001332C2" w:rsidRPr="005F55B6" w:rsidRDefault="001332C2" w:rsidP="001332C2">
      <w:pPr>
        <w:pStyle w:val="ListParagraph"/>
        <w:tabs>
          <w:tab w:val="left" w:pos="360"/>
          <w:tab w:val="left" w:pos="2820"/>
          <w:tab w:val="left" w:pos="3240"/>
          <w:tab w:val="left" w:pos="6840"/>
        </w:tabs>
        <w:ind w:left="0"/>
        <w:rPr>
          <w:rFonts w:asciiTheme="minorHAnsi" w:eastAsia="Malgun Gothic" w:hAnsiTheme="minorHAnsi"/>
          <w:b/>
          <w:bCs/>
          <w:color w:val="44546A" w:themeColor="text2"/>
          <w:sz w:val="22"/>
          <w:szCs w:val="22"/>
        </w:rPr>
      </w:pPr>
      <w:bookmarkStart w:id="0" w:name="_GoBack"/>
      <w:bookmarkEnd w:id="0"/>
      <w:r>
        <w:rPr>
          <w:rFonts w:asciiTheme="minorHAnsi" w:eastAsia="Malgun Gothic" w:hAnsiTheme="minorHAnsi"/>
          <w:b/>
          <w:bCs/>
          <w:color w:val="3914C2"/>
          <w:sz w:val="22"/>
          <w:szCs w:val="22"/>
        </w:rPr>
        <w:t>New Medicare Card/Medicare Open Enrollment/Medicare and You Handbook</w:t>
      </w:r>
    </w:p>
    <w:p w:rsidR="001332C2" w:rsidRDefault="001332C2" w:rsidP="001332C2">
      <w:pPr>
        <w:rPr>
          <w:rFonts w:asciiTheme="minorHAnsi" w:eastAsia="Malgun Gothic" w:hAnsiTheme="minorHAnsi"/>
          <w:b/>
          <w:bCs/>
          <w:i/>
          <w:sz w:val="22"/>
          <w:szCs w:val="22"/>
        </w:rPr>
      </w:pPr>
    </w:p>
    <w:p w:rsidR="001332C2" w:rsidRDefault="001332C2" w:rsidP="001332C2">
      <w:pPr>
        <w:rPr>
          <w:rFonts w:asciiTheme="minorHAnsi" w:hAnsiTheme="minorHAnsi" w:cstheme="minorHAnsi"/>
          <w:bCs/>
          <w:i/>
          <w:sz w:val="22"/>
          <w:szCs w:val="22"/>
        </w:rPr>
      </w:pPr>
      <w:r>
        <w:rPr>
          <w:rFonts w:asciiTheme="minorHAnsi" w:eastAsia="Malgun Gothic" w:hAnsiTheme="minorHAnsi"/>
          <w:b/>
          <w:bCs/>
          <w:i/>
          <w:sz w:val="22"/>
          <w:szCs w:val="22"/>
        </w:rPr>
        <w:t xml:space="preserve">Erin Pressley, </w:t>
      </w:r>
      <w:r w:rsidRPr="007247B5">
        <w:rPr>
          <w:rFonts w:asciiTheme="minorHAnsi" w:eastAsia="Malgun Gothic" w:hAnsiTheme="minorHAnsi"/>
          <w:bCs/>
          <w:i/>
          <w:sz w:val="22"/>
          <w:szCs w:val="22"/>
        </w:rPr>
        <w:t>Director,</w:t>
      </w:r>
      <w:r w:rsidRPr="00D727C8">
        <w:rPr>
          <w:rFonts w:asciiTheme="minorHAnsi" w:eastAsia="Malgun Gothic" w:hAnsiTheme="minorHAnsi"/>
          <w:bCs/>
          <w:i/>
          <w:sz w:val="22"/>
          <w:szCs w:val="22"/>
        </w:rPr>
        <w:t xml:space="preserve"> Creative Services Group,</w:t>
      </w:r>
      <w:r>
        <w:rPr>
          <w:rFonts w:asciiTheme="minorHAnsi" w:eastAsia="Malgun Gothic" w:hAnsiTheme="minorHAnsi"/>
          <w:b/>
          <w:bCs/>
          <w:i/>
          <w:sz w:val="22"/>
          <w:szCs w:val="22"/>
        </w:rPr>
        <w:t xml:space="preserve"> </w:t>
      </w:r>
      <w:r w:rsidRPr="00086AEC">
        <w:rPr>
          <w:rFonts w:asciiTheme="minorHAnsi" w:hAnsiTheme="minorHAnsi" w:cstheme="minorHAnsi"/>
          <w:bCs/>
          <w:i/>
          <w:sz w:val="22"/>
          <w:szCs w:val="22"/>
        </w:rPr>
        <w:t>Office of Communications</w:t>
      </w:r>
      <w:r>
        <w:rPr>
          <w:rFonts w:asciiTheme="minorHAnsi" w:hAnsiTheme="minorHAnsi" w:cstheme="minorHAnsi"/>
          <w:bCs/>
          <w:i/>
          <w:sz w:val="22"/>
          <w:szCs w:val="22"/>
        </w:rPr>
        <w:t>, CMS</w:t>
      </w:r>
    </w:p>
    <w:p w:rsidR="001332C2" w:rsidRDefault="001332C2" w:rsidP="001332C2">
      <w:pPr>
        <w:rPr>
          <w:rFonts w:asciiTheme="minorHAnsi" w:hAnsiTheme="minorHAnsi" w:cstheme="minorHAnsi"/>
          <w:bCs/>
          <w:i/>
          <w:sz w:val="22"/>
          <w:szCs w:val="22"/>
        </w:rPr>
      </w:pPr>
    </w:p>
    <w:p w:rsidR="001332C2" w:rsidRPr="009A3F29" w:rsidRDefault="001332C2" w:rsidP="001332C2">
      <w:pPr>
        <w:rPr>
          <w:rFonts w:asciiTheme="minorHAnsi" w:hAnsiTheme="minorHAnsi" w:cstheme="minorHAnsi"/>
          <w:bCs/>
          <w:i/>
          <w:color w:val="000000" w:themeColor="text1"/>
          <w:sz w:val="22"/>
          <w:szCs w:val="22"/>
        </w:rPr>
      </w:pPr>
      <w:r w:rsidRPr="009A3F29">
        <w:rPr>
          <w:rFonts w:asciiTheme="minorHAnsi" w:hAnsiTheme="minorHAnsi"/>
          <w:i/>
          <w:color w:val="000000" w:themeColor="text1"/>
          <w:sz w:val="22"/>
          <w:szCs w:val="22"/>
        </w:rPr>
        <w:t>This presentation about the new Medicare card will provide information about the new card design, card research, outreach plans and fraud awareness.</w:t>
      </w:r>
    </w:p>
    <w:p w:rsidR="007D46EF" w:rsidRDefault="007D46EF" w:rsidP="00E6682E">
      <w:pPr>
        <w:rPr>
          <w:rFonts w:asciiTheme="minorHAnsi" w:hAnsiTheme="minorHAnsi" w:cstheme="minorHAnsi"/>
          <w:bCs/>
          <w:i/>
          <w:sz w:val="22"/>
          <w:szCs w:val="22"/>
        </w:rPr>
      </w:pPr>
    </w:p>
    <w:p w:rsidR="007D46EF" w:rsidRDefault="007D46EF" w:rsidP="007D46EF">
      <w:pPr>
        <w:tabs>
          <w:tab w:val="left" w:pos="2820"/>
          <w:tab w:val="left" w:pos="3240"/>
          <w:tab w:val="left" w:pos="6840"/>
        </w:tabs>
        <w:rPr>
          <w:rFonts w:asciiTheme="minorHAnsi" w:eastAsia="Malgun Gothic" w:hAnsiTheme="minorHAnsi"/>
          <w:b/>
          <w:bCs/>
          <w:color w:val="000099"/>
          <w:sz w:val="22"/>
          <w:szCs w:val="22"/>
        </w:rPr>
      </w:pPr>
      <w:r>
        <w:rPr>
          <w:rFonts w:asciiTheme="minorHAnsi" w:eastAsia="Malgun Gothic" w:hAnsiTheme="minorHAnsi"/>
          <w:b/>
          <w:bCs/>
          <w:color w:val="000099"/>
          <w:sz w:val="22"/>
          <w:szCs w:val="22"/>
        </w:rPr>
        <w:t>Medicare Beneficiary Appeals</w:t>
      </w:r>
    </w:p>
    <w:p w:rsidR="007D46EF" w:rsidRDefault="007D46EF" w:rsidP="007D46EF">
      <w:pPr>
        <w:tabs>
          <w:tab w:val="left" w:pos="360"/>
        </w:tabs>
        <w:ind w:left="360"/>
        <w:rPr>
          <w:rFonts w:asciiTheme="minorHAnsi" w:eastAsia="Malgun Gothic" w:hAnsiTheme="minorHAnsi"/>
          <w:b/>
          <w:bCs/>
          <w:i/>
          <w:sz w:val="22"/>
          <w:szCs w:val="22"/>
        </w:rPr>
      </w:pPr>
    </w:p>
    <w:p w:rsidR="007D46EF" w:rsidRDefault="007D46EF" w:rsidP="007D46EF">
      <w:pPr>
        <w:tabs>
          <w:tab w:val="left" w:pos="360"/>
        </w:tabs>
        <w:rPr>
          <w:rFonts w:asciiTheme="minorHAnsi" w:eastAsia="Malgun Gothic" w:hAnsiTheme="minorHAnsi"/>
          <w:bCs/>
          <w:i/>
          <w:sz w:val="22"/>
          <w:szCs w:val="22"/>
        </w:rPr>
      </w:pPr>
      <w:r>
        <w:rPr>
          <w:rFonts w:asciiTheme="minorHAnsi" w:eastAsia="Malgun Gothic" w:hAnsiTheme="minorHAnsi"/>
          <w:b/>
          <w:bCs/>
          <w:i/>
          <w:sz w:val="22"/>
          <w:szCs w:val="22"/>
        </w:rPr>
        <w:lastRenderedPageBreak/>
        <w:t>Jason Green</w:t>
      </w:r>
      <w:r>
        <w:rPr>
          <w:rFonts w:asciiTheme="minorHAnsi" w:eastAsia="Malgun Gothic" w:hAnsiTheme="minorHAnsi"/>
          <w:bCs/>
          <w:i/>
          <w:sz w:val="22"/>
          <w:szCs w:val="22"/>
        </w:rPr>
        <w:t xml:space="preserve">, </w:t>
      </w:r>
      <w:r w:rsidRPr="00CF0313">
        <w:rPr>
          <w:rFonts w:asciiTheme="minorHAnsi" w:eastAsia="Malgun Gothic" w:hAnsiTheme="minorHAnsi"/>
          <w:bCs/>
          <w:i/>
          <w:sz w:val="22"/>
          <w:szCs w:val="22"/>
        </w:rPr>
        <w:t>Chief Advisor and Deputy Ethics Counselor</w:t>
      </w:r>
      <w:r>
        <w:rPr>
          <w:rFonts w:asciiTheme="minorHAnsi" w:eastAsia="Malgun Gothic" w:hAnsiTheme="minorHAnsi"/>
          <w:bCs/>
          <w:i/>
          <w:sz w:val="22"/>
          <w:szCs w:val="22"/>
        </w:rPr>
        <w:t xml:space="preserve">, </w:t>
      </w:r>
      <w:r w:rsidRPr="00CF0313">
        <w:rPr>
          <w:rFonts w:asciiTheme="minorHAnsi" w:eastAsia="Malgun Gothic" w:hAnsiTheme="minorHAnsi"/>
          <w:bCs/>
          <w:i/>
          <w:sz w:val="22"/>
          <w:szCs w:val="22"/>
        </w:rPr>
        <w:t>Office of Medicare Hearings and Appeals</w:t>
      </w:r>
      <w:r>
        <w:rPr>
          <w:rFonts w:asciiTheme="minorHAnsi" w:eastAsia="Malgun Gothic" w:hAnsiTheme="minorHAnsi"/>
          <w:bCs/>
          <w:i/>
          <w:sz w:val="22"/>
          <w:szCs w:val="22"/>
        </w:rPr>
        <w:t>, HHS</w:t>
      </w:r>
    </w:p>
    <w:p w:rsidR="00C22004" w:rsidRDefault="00C22004" w:rsidP="007D46EF">
      <w:pPr>
        <w:tabs>
          <w:tab w:val="left" w:pos="360"/>
        </w:tabs>
        <w:rPr>
          <w:rFonts w:asciiTheme="minorHAnsi" w:eastAsia="Malgun Gothic" w:hAnsiTheme="minorHAnsi"/>
          <w:bCs/>
          <w:i/>
          <w:sz w:val="22"/>
          <w:szCs w:val="22"/>
        </w:rPr>
      </w:pPr>
    </w:p>
    <w:p w:rsidR="00C22004" w:rsidRDefault="00C22004" w:rsidP="007D46EF">
      <w:pPr>
        <w:tabs>
          <w:tab w:val="left" w:pos="360"/>
        </w:tabs>
        <w:rPr>
          <w:rFonts w:asciiTheme="minorHAnsi" w:eastAsia="Malgun Gothic" w:hAnsiTheme="minorHAnsi"/>
          <w:bCs/>
          <w:i/>
          <w:sz w:val="22"/>
          <w:szCs w:val="22"/>
        </w:rPr>
      </w:pPr>
      <w:r>
        <w:rPr>
          <w:rFonts w:asciiTheme="minorHAnsi" w:eastAsia="Malgun Gothic" w:hAnsiTheme="minorHAnsi"/>
          <w:bCs/>
          <w:i/>
          <w:sz w:val="22"/>
          <w:szCs w:val="22"/>
        </w:rPr>
        <w:t>A general overview of the benefit claims appeal processes under Parts A, B, C, and D with special attention on Medicare beneficiaries as appealing parties.</w:t>
      </w:r>
    </w:p>
    <w:p w:rsidR="00FF2C27" w:rsidRDefault="00FF2C27" w:rsidP="007D46EF">
      <w:pPr>
        <w:tabs>
          <w:tab w:val="left" w:pos="360"/>
        </w:tabs>
        <w:rPr>
          <w:rFonts w:asciiTheme="minorHAnsi" w:eastAsia="Malgun Gothic" w:hAnsiTheme="minorHAnsi"/>
          <w:b/>
          <w:bCs/>
          <w:i/>
          <w:sz w:val="22"/>
          <w:szCs w:val="22"/>
        </w:rPr>
      </w:pPr>
    </w:p>
    <w:p w:rsidR="00D90979" w:rsidRDefault="00D90979" w:rsidP="00D90979">
      <w:pPr>
        <w:tabs>
          <w:tab w:val="left" w:pos="2700"/>
        </w:tabs>
        <w:rPr>
          <w:rFonts w:asciiTheme="minorHAnsi" w:eastAsia="Malgun Gothic" w:hAnsiTheme="minorHAnsi"/>
          <w:b/>
          <w:bCs/>
          <w:color w:val="000099"/>
          <w:sz w:val="22"/>
          <w:szCs w:val="22"/>
          <w:lang w:eastAsia="en-US"/>
        </w:rPr>
      </w:pPr>
      <w:r w:rsidRPr="00353744">
        <w:rPr>
          <w:rFonts w:asciiTheme="minorHAnsi" w:eastAsia="Malgun Gothic" w:hAnsiTheme="minorHAnsi"/>
          <w:b/>
          <w:bCs/>
          <w:color w:val="3914C2"/>
          <w:sz w:val="22"/>
          <w:szCs w:val="22"/>
          <w:lang w:eastAsia="en-US"/>
        </w:rPr>
        <w:t>Closing &amp; Adjourn</w:t>
      </w:r>
    </w:p>
    <w:p w:rsidR="00D90979" w:rsidRPr="00086AEC" w:rsidRDefault="00D90979" w:rsidP="00D90979">
      <w:pPr>
        <w:tabs>
          <w:tab w:val="left" w:pos="2700"/>
        </w:tabs>
        <w:rPr>
          <w:rFonts w:asciiTheme="minorHAnsi" w:eastAsia="Malgun Gothic" w:hAnsiTheme="minorHAnsi"/>
          <w:b/>
          <w:bCs/>
          <w:color w:val="000099"/>
          <w:sz w:val="22"/>
          <w:szCs w:val="22"/>
          <w:lang w:eastAsia="en-US"/>
        </w:rPr>
      </w:pPr>
    </w:p>
    <w:p w:rsidR="008236D1" w:rsidRPr="00086AEC" w:rsidRDefault="008236D1" w:rsidP="008236D1">
      <w:pPr>
        <w:rPr>
          <w:rFonts w:asciiTheme="minorHAnsi" w:hAnsiTheme="minorHAnsi" w:cstheme="minorHAnsi"/>
          <w:bCs/>
          <w:i/>
          <w:sz w:val="22"/>
          <w:szCs w:val="22"/>
        </w:rPr>
      </w:pPr>
      <w:r>
        <w:rPr>
          <w:rFonts w:asciiTheme="minorHAnsi" w:hAnsiTheme="minorHAnsi" w:cstheme="minorHAnsi"/>
          <w:b/>
          <w:bCs/>
          <w:i/>
          <w:sz w:val="22"/>
          <w:szCs w:val="22"/>
        </w:rPr>
        <w:t>Susie Butler</w:t>
      </w:r>
      <w:r w:rsidRPr="00086AEC">
        <w:rPr>
          <w:rFonts w:asciiTheme="minorHAnsi" w:hAnsiTheme="minorHAnsi" w:cstheme="minorHAnsi" w:hint="eastAsia"/>
          <w:bCs/>
          <w:i/>
          <w:sz w:val="22"/>
          <w:szCs w:val="22"/>
        </w:rPr>
        <w:t>,</w:t>
      </w:r>
      <w:r w:rsidRPr="006277F1">
        <w:rPr>
          <w:rFonts w:asciiTheme="minorHAnsi" w:hAnsiTheme="minorHAnsi"/>
          <w:i/>
          <w:sz w:val="22"/>
          <w:szCs w:val="22"/>
        </w:rPr>
        <w:t xml:space="preserve"> </w:t>
      </w:r>
      <w:r w:rsidRPr="00086AEC">
        <w:rPr>
          <w:rFonts w:asciiTheme="minorHAnsi" w:hAnsiTheme="minorHAnsi" w:cstheme="minorHAnsi"/>
          <w:bCs/>
          <w:i/>
          <w:sz w:val="22"/>
          <w:szCs w:val="22"/>
        </w:rPr>
        <w:t>Director, Partner Relations Group, Office of Communications</w:t>
      </w:r>
      <w:r>
        <w:rPr>
          <w:rFonts w:asciiTheme="minorHAnsi" w:hAnsiTheme="minorHAnsi" w:cstheme="minorHAnsi"/>
          <w:bCs/>
          <w:i/>
          <w:sz w:val="22"/>
          <w:szCs w:val="22"/>
        </w:rPr>
        <w:t>, CMS</w:t>
      </w:r>
    </w:p>
    <w:p w:rsidR="00D90979" w:rsidRDefault="00D90979" w:rsidP="00D90979">
      <w:pPr>
        <w:rPr>
          <w:rFonts w:asciiTheme="minorHAnsi" w:hAnsiTheme="minorHAnsi" w:cstheme="minorHAnsi"/>
          <w:sz w:val="22"/>
          <w:szCs w:val="22"/>
        </w:rPr>
      </w:pPr>
    </w:p>
    <w:p w:rsidR="0085512B" w:rsidRDefault="0085512B" w:rsidP="00D90979">
      <w:pPr>
        <w:rPr>
          <w:rFonts w:asciiTheme="minorHAnsi" w:hAnsiTheme="minorHAnsi" w:cstheme="minorHAnsi"/>
          <w:sz w:val="22"/>
          <w:szCs w:val="22"/>
        </w:rPr>
      </w:pPr>
    </w:p>
    <w:p w:rsidR="00D90979" w:rsidRPr="00086AEC" w:rsidRDefault="00D90979" w:rsidP="00D90979">
      <w:pPr>
        <w:rPr>
          <w:rFonts w:asciiTheme="minorHAnsi" w:eastAsia="Malgun Gothic" w:hAnsiTheme="minorHAnsi"/>
          <w:b/>
          <w:bCs/>
          <w:color w:val="000099"/>
          <w:sz w:val="22"/>
          <w:szCs w:val="22"/>
        </w:rPr>
      </w:pPr>
      <w:r w:rsidRPr="00086AEC">
        <w:rPr>
          <w:rFonts w:asciiTheme="minorHAnsi" w:hAnsiTheme="minorHAnsi" w:cstheme="minorHAnsi"/>
          <w:sz w:val="22"/>
          <w:szCs w:val="22"/>
        </w:rPr>
        <w:t xml:space="preserve">Please email </w:t>
      </w:r>
      <w:hyperlink r:id="rId9" w:history="1">
        <w:r w:rsidRPr="00086AEC">
          <w:rPr>
            <w:rStyle w:val="Hyperlink"/>
            <w:rFonts w:asciiTheme="minorHAnsi" w:hAnsiTheme="minorHAnsi"/>
            <w:sz w:val="22"/>
            <w:szCs w:val="22"/>
          </w:rPr>
          <w:t>PARTNERSHIP</w:t>
        </w:r>
        <w:r w:rsidRPr="00086AEC">
          <w:rPr>
            <w:rStyle w:val="Hyperlink"/>
            <w:rFonts w:asciiTheme="minorHAnsi" w:hAnsiTheme="minorHAnsi" w:cstheme="minorHAnsi"/>
            <w:sz w:val="22"/>
            <w:szCs w:val="22"/>
          </w:rPr>
          <w:t>@cms.hhs.gov</w:t>
        </w:r>
      </w:hyperlink>
      <w:r w:rsidRPr="00086AEC">
        <w:rPr>
          <w:rFonts w:asciiTheme="minorHAnsi" w:hAnsiTheme="minorHAnsi" w:cstheme="minorHAnsi"/>
          <w:sz w:val="22"/>
          <w:szCs w:val="22"/>
        </w:rPr>
        <w:t xml:space="preserve"> if you have </w:t>
      </w:r>
      <w:r>
        <w:rPr>
          <w:rFonts w:asciiTheme="minorHAnsi" w:hAnsiTheme="minorHAnsi" w:cstheme="minorHAnsi"/>
          <w:sz w:val="22"/>
          <w:szCs w:val="22"/>
        </w:rPr>
        <w:t xml:space="preserve">any </w:t>
      </w:r>
      <w:r w:rsidRPr="00086AEC">
        <w:rPr>
          <w:rFonts w:asciiTheme="minorHAnsi" w:hAnsiTheme="minorHAnsi" w:cstheme="minorHAnsi"/>
          <w:sz w:val="22"/>
          <w:szCs w:val="22"/>
        </w:rPr>
        <w:t>questions.</w:t>
      </w:r>
    </w:p>
    <w:p w:rsidR="00293EAF" w:rsidRDefault="000E6F6B"/>
    <w:sectPr w:rsidR="00293EAF" w:rsidSect="006C0CA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747" w:rsidRDefault="00353744">
      <w:r>
        <w:separator/>
      </w:r>
    </w:p>
  </w:endnote>
  <w:endnote w:type="continuationSeparator" w:id="0">
    <w:p w:rsidR="002E4747" w:rsidRDefault="0035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40" w:rsidRDefault="000E6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40" w:rsidRDefault="000E6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40" w:rsidRDefault="000E6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747" w:rsidRDefault="00353744">
      <w:r>
        <w:separator/>
      </w:r>
    </w:p>
  </w:footnote>
  <w:footnote w:type="continuationSeparator" w:id="0">
    <w:p w:rsidR="002E4747" w:rsidRDefault="00353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40" w:rsidRDefault="000E6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079242"/>
      <w:docPartObj>
        <w:docPartGallery w:val="Watermarks"/>
        <w:docPartUnique/>
      </w:docPartObj>
    </w:sdtPr>
    <w:sdtEndPr/>
    <w:sdtContent>
      <w:p w:rsidR="00EC5546" w:rsidRDefault="000E6F6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40" w:rsidRDefault="000E6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79"/>
    <w:rsid w:val="00014AD4"/>
    <w:rsid w:val="00082A09"/>
    <w:rsid w:val="000A3DF9"/>
    <w:rsid w:val="000D3139"/>
    <w:rsid w:val="000E6F6B"/>
    <w:rsid w:val="001332C2"/>
    <w:rsid w:val="001A7FA3"/>
    <w:rsid w:val="001C5BA1"/>
    <w:rsid w:val="002B1F92"/>
    <w:rsid w:val="002E4747"/>
    <w:rsid w:val="00353744"/>
    <w:rsid w:val="00432613"/>
    <w:rsid w:val="00446428"/>
    <w:rsid w:val="004E02D2"/>
    <w:rsid w:val="00590D18"/>
    <w:rsid w:val="00594216"/>
    <w:rsid w:val="006277F1"/>
    <w:rsid w:val="00657ADC"/>
    <w:rsid w:val="006758C6"/>
    <w:rsid w:val="006D5CCA"/>
    <w:rsid w:val="006F3858"/>
    <w:rsid w:val="00783583"/>
    <w:rsid w:val="0079304C"/>
    <w:rsid w:val="007A376A"/>
    <w:rsid w:val="007D46EF"/>
    <w:rsid w:val="008236D1"/>
    <w:rsid w:val="0085512B"/>
    <w:rsid w:val="00867140"/>
    <w:rsid w:val="008C0001"/>
    <w:rsid w:val="008D465B"/>
    <w:rsid w:val="00A0103F"/>
    <w:rsid w:val="00A1322E"/>
    <w:rsid w:val="00A659B6"/>
    <w:rsid w:val="00B24D57"/>
    <w:rsid w:val="00B40217"/>
    <w:rsid w:val="00B44CEE"/>
    <w:rsid w:val="00C22004"/>
    <w:rsid w:val="00CE14ED"/>
    <w:rsid w:val="00D11B50"/>
    <w:rsid w:val="00D70F04"/>
    <w:rsid w:val="00D727C8"/>
    <w:rsid w:val="00D90979"/>
    <w:rsid w:val="00DE7E55"/>
    <w:rsid w:val="00E4545F"/>
    <w:rsid w:val="00E6682E"/>
    <w:rsid w:val="00EB4151"/>
    <w:rsid w:val="00F20F31"/>
    <w:rsid w:val="00F44417"/>
    <w:rsid w:val="00FD7E93"/>
    <w:rsid w:val="00FF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2CBD806-3CAD-4E2C-8825-4A8D605CD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979"/>
    <w:pPr>
      <w:spacing w:after="0" w:line="240" w:lineRule="auto"/>
    </w:pPr>
    <w:rPr>
      <w:rFonts w:ascii="Times New Roman" w:eastAsiaTheme="minorEastAsia"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979"/>
    <w:rPr>
      <w:color w:val="0000FF"/>
      <w:u w:val="single"/>
    </w:rPr>
  </w:style>
  <w:style w:type="paragraph" w:styleId="NormalWeb">
    <w:name w:val="Normal (Web)"/>
    <w:basedOn w:val="Normal"/>
    <w:uiPriority w:val="99"/>
    <w:semiHidden/>
    <w:unhideWhenUsed/>
    <w:rsid w:val="00D90979"/>
    <w:pPr>
      <w:spacing w:before="100" w:beforeAutospacing="1" w:after="100" w:afterAutospacing="1"/>
    </w:pPr>
  </w:style>
  <w:style w:type="character" w:styleId="Strong">
    <w:name w:val="Strong"/>
    <w:basedOn w:val="DefaultParagraphFont"/>
    <w:uiPriority w:val="22"/>
    <w:qFormat/>
    <w:rsid w:val="00D90979"/>
    <w:rPr>
      <w:b/>
      <w:bCs/>
    </w:rPr>
  </w:style>
  <w:style w:type="paragraph" w:styleId="ListParagraph">
    <w:name w:val="List Paragraph"/>
    <w:basedOn w:val="Normal"/>
    <w:uiPriority w:val="34"/>
    <w:qFormat/>
    <w:rsid w:val="00D90979"/>
    <w:pPr>
      <w:ind w:left="720"/>
      <w:contextualSpacing/>
    </w:pPr>
  </w:style>
  <w:style w:type="paragraph" w:styleId="Header">
    <w:name w:val="header"/>
    <w:basedOn w:val="Normal"/>
    <w:link w:val="HeaderChar"/>
    <w:uiPriority w:val="99"/>
    <w:unhideWhenUsed/>
    <w:rsid w:val="00D90979"/>
    <w:pPr>
      <w:tabs>
        <w:tab w:val="center" w:pos="4680"/>
        <w:tab w:val="right" w:pos="9360"/>
      </w:tabs>
    </w:pPr>
  </w:style>
  <w:style w:type="character" w:customStyle="1" w:styleId="HeaderChar">
    <w:name w:val="Header Char"/>
    <w:basedOn w:val="DefaultParagraphFont"/>
    <w:link w:val="Header"/>
    <w:uiPriority w:val="99"/>
    <w:rsid w:val="00D90979"/>
    <w:rPr>
      <w:rFonts w:ascii="Times New Roman" w:eastAsiaTheme="minorEastAsia" w:hAnsi="Times New Roman" w:cs="Times New Roman"/>
      <w:sz w:val="24"/>
      <w:szCs w:val="24"/>
      <w:lang w:eastAsia="ko-KR"/>
    </w:rPr>
  </w:style>
  <w:style w:type="paragraph" w:styleId="Footer">
    <w:name w:val="footer"/>
    <w:basedOn w:val="Normal"/>
    <w:link w:val="FooterChar"/>
    <w:uiPriority w:val="99"/>
    <w:unhideWhenUsed/>
    <w:rsid w:val="00D90979"/>
    <w:pPr>
      <w:tabs>
        <w:tab w:val="center" w:pos="4680"/>
        <w:tab w:val="right" w:pos="9360"/>
      </w:tabs>
    </w:pPr>
  </w:style>
  <w:style w:type="character" w:customStyle="1" w:styleId="FooterChar">
    <w:name w:val="Footer Char"/>
    <w:basedOn w:val="DefaultParagraphFont"/>
    <w:link w:val="Footer"/>
    <w:uiPriority w:val="99"/>
    <w:rsid w:val="00D90979"/>
    <w:rPr>
      <w:rFonts w:ascii="Times New Roman" w:eastAsiaTheme="minorEastAsia" w:hAnsi="Times New Roman" w:cs="Times New Roman"/>
      <w:sz w:val="24"/>
      <w:szCs w:val="24"/>
      <w:lang w:eastAsia="ko-KR"/>
    </w:rPr>
  </w:style>
  <w:style w:type="character" w:customStyle="1" w:styleId="rednote1">
    <w:name w:val="rednote1"/>
    <w:basedOn w:val="DefaultParagraphFont"/>
    <w:rsid w:val="00A0103F"/>
    <w:rPr>
      <w:rFonts w:ascii="Times New Roman" w:hAnsi="Times New Roman" w:cs="Times New Roman" w:hint="default"/>
      <w:b/>
      <w:bCs/>
      <w:color w:val="84080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85613">
      <w:bodyDiv w:val="1"/>
      <w:marLeft w:val="0"/>
      <w:marRight w:val="0"/>
      <w:marTop w:val="0"/>
      <w:marBottom w:val="0"/>
      <w:divBdr>
        <w:top w:val="none" w:sz="0" w:space="0" w:color="auto"/>
        <w:left w:val="none" w:sz="0" w:space="0" w:color="auto"/>
        <w:bottom w:val="none" w:sz="0" w:space="0" w:color="auto"/>
        <w:right w:val="none" w:sz="0" w:space="0" w:color="auto"/>
      </w:divBdr>
    </w:div>
    <w:div w:id="1028916821">
      <w:bodyDiv w:val="1"/>
      <w:marLeft w:val="0"/>
      <w:marRight w:val="0"/>
      <w:marTop w:val="0"/>
      <w:marBottom w:val="0"/>
      <w:divBdr>
        <w:top w:val="none" w:sz="0" w:space="0" w:color="auto"/>
        <w:left w:val="none" w:sz="0" w:space="0" w:color="auto"/>
        <w:bottom w:val="none" w:sz="0" w:space="0" w:color="auto"/>
        <w:right w:val="none" w:sz="0" w:space="0" w:color="auto"/>
      </w:divBdr>
    </w:div>
    <w:div w:id="1814979740">
      <w:bodyDiv w:val="1"/>
      <w:marLeft w:val="0"/>
      <w:marRight w:val="0"/>
      <w:marTop w:val="0"/>
      <w:marBottom w:val="0"/>
      <w:divBdr>
        <w:top w:val="none" w:sz="0" w:space="0" w:color="auto"/>
        <w:left w:val="none" w:sz="0" w:space="0" w:color="auto"/>
        <w:bottom w:val="none" w:sz="0" w:space="0" w:color="auto"/>
        <w:right w:val="none" w:sz="0" w:space="0" w:color="auto"/>
      </w:divBdr>
    </w:div>
    <w:div w:id="1903787286">
      <w:bodyDiv w:val="1"/>
      <w:marLeft w:val="0"/>
      <w:marRight w:val="0"/>
      <w:marTop w:val="0"/>
      <w:marBottom w:val="0"/>
      <w:divBdr>
        <w:top w:val="none" w:sz="0" w:space="0" w:color="auto"/>
        <w:left w:val="none" w:sz="0" w:space="0" w:color="auto"/>
        <w:bottom w:val="none" w:sz="0" w:space="0" w:color="auto"/>
        <w:right w:val="none" w:sz="0" w:space="0" w:color="auto"/>
      </w:divBdr>
    </w:div>
    <w:div w:id="1909536412">
      <w:bodyDiv w:val="1"/>
      <w:marLeft w:val="0"/>
      <w:marRight w:val="0"/>
      <w:marTop w:val="0"/>
      <w:marBottom w:val="0"/>
      <w:divBdr>
        <w:top w:val="none" w:sz="0" w:space="0" w:color="auto"/>
        <w:left w:val="none" w:sz="0" w:space="0" w:color="auto"/>
        <w:bottom w:val="none" w:sz="0" w:space="0" w:color="auto"/>
        <w:right w:val="none" w:sz="0" w:space="0" w:color="auto"/>
      </w:divBdr>
    </w:div>
    <w:div w:id="199081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cms.hhs.gov/nmep092720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TNERSHIP@cms.hh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30A2E-7965-499B-9272-D64D85B9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Darling</dc:creator>
  <cp:keywords/>
  <dc:description/>
  <cp:lastModifiedBy>Jill Darling</cp:lastModifiedBy>
  <cp:revision>2</cp:revision>
  <dcterms:created xsi:type="dcterms:W3CDTF">2017-09-22T14:43:00Z</dcterms:created>
  <dcterms:modified xsi:type="dcterms:W3CDTF">2017-09-22T14:43:00Z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-2006435990</vt:i4>
  </property>
  <property fmtid="{D5CDD505-2E9C-101B-9397-08002B2CF9AE}" pid="3" name="_NewReviewCycle">
    <vt:lpwstr/>
  </property>
  <property fmtid="{D5CDD505-2E9C-101B-9397-08002B2CF9AE}" pid="4" name="_EmailSubject">
    <vt:lpwstr>National Medicare Education Program (NMEP) Meeting- Agenda- September 27, 2017</vt:lpwstr>
  </property>
  <property fmtid="{D5CDD505-2E9C-101B-9397-08002B2CF9AE}" pid="5" name="_AuthorEmail">
    <vt:lpwstr>PARTNERSHIP@cms.hhs.gov</vt:lpwstr>
  </property>
  <property fmtid="{D5CDD505-2E9C-101B-9397-08002B2CF9AE}" pid="6" name="_AuthorEmailDisplayName">
    <vt:lpwstr>CMS PARTNERSHIP</vt:lpwstr>
  </property>
</Properties>
</file>