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9.0 -->
  <w:body>
    <w:p>
      <w:pPr>
        <w:spacing w:before="0" w:after="0" w:line="276" w:lineRule="auto"/>
        <w:jc w:val="center"/>
        <w:rPr>
          <w:sz w:val="32"/>
          <w:szCs w:val="32"/>
        </w:rPr>
      </w:pPr>
      <w:r>
        <w:rPr>
          <w:strike w:val="0"/>
          <w:sz w:val="32"/>
          <w:szCs w:val="32"/>
          <w:u w:val="none"/>
        </w:rPr>
        <w:drawing>
          <wp:anchor simplePos="0" relativeHeight="251658240" behindDoc="0" locked="0" layoutInCell="1" allowOverlap="0">
            <wp:simplePos x="0" y="0"/>
            <wp:positionH relativeFrom="column">
              <wp:align>left</wp:align>
            </wp:positionH>
            <wp:positionV relativeFrom="paragraph">
              <wp:posOffset>4445</wp:posOffset>
            </wp:positionV>
            <wp:extent cx="1838325" cy="1285875"/>
            <wp:wrapTight wrapText="bothSides">
              <wp:wrapPolygon>
                <wp:start x="-389" y="0"/>
                <wp:lineTo x="-389" y="21340"/>
                <wp:lineTo x="21795" y="21340"/>
                <wp:lineTo x="21795" y="0"/>
                <wp:lineTo x="-389" y="0"/>
              </wp:wrapPolygon>
            </wp:wrapTight>
            <wp:docPr id="100001" name=""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1838325" cy="1285875"/>
                    </a:xfrm>
                    <a:prstGeom prst="rect">
                      <a:avLst/>
                    </a:prstGeom>
                  </pic:spPr>
                </pic:pic>
              </a:graphicData>
            </a:graphic>
          </wp:anchor>
        </w:drawing>
      </w:r>
      <w:r>
        <w:rPr>
          <w:rFonts w:ascii="Arial" w:eastAsia="Arial" w:hAnsi="Arial" w:cs="Arial"/>
          <w:b/>
          <w:bCs/>
          <w:sz w:val="32"/>
          <w:szCs w:val="32"/>
        </w:rPr>
        <w:t xml:space="preserve">Medicare </w:t>
      </w:r>
      <w:r>
        <w:rPr>
          <w:rFonts w:ascii="Arial" w:eastAsia="Arial" w:hAnsi="Arial" w:cs="Arial"/>
          <w:b/>
          <w:bCs/>
          <w:sz w:val="32"/>
          <w:szCs w:val="32"/>
        </w:rPr>
        <w:t>C</w:t>
      </w:r>
      <w:r>
        <w:rPr>
          <w:rFonts w:ascii="Arial" w:eastAsia="Arial" w:hAnsi="Arial" w:cs="Arial"/>
          <w:b/>
          <w:bCs/>
          <w:sz w:val="32"/>
          <w:szCs w:val="32"/>
        </w:rPr>
        <w:t xml:space="preserve">overage and </w:t>
      </w:r>
      <w:r>
        <w:rPr>
          <w:rFonts w:ascii="Arial" w:eastAsia="Arial" w:hAnsi="Arial" w:cs="Arial"/>
          <w:b/>
          <w:bCs/>
          <w:sz w:val="32"/>
          <w:szCs w:val="32"/>
        </w:rPr>
        <w:t>C</w:t>
      </w:r>
      <w:r>
        <w:rPr>
          <w:rFonts w:ascii="Arial" w:eastAsia="Arial" w:hAnsi="Arial" w:cs="Arial"/>
          <w:b/>
          <w:bCs/>
          <w:sz w:val="32"/>
          <w:szCs w:val="32"/>
        </w:rPr>
        <w:t>oronaviru</w:t>
      </w:r>
      <w:r>
        <w:rPr>
          <w:rFonts w:ascii="Arial" w:eastAsia="Arial" w:hAnsi="Arial" w:cs="Arial"/>
          <w:b/>
          <w:bCs/>
          <w:sz w:val="32"/>
          <w:szCs w:val="32"/>
        </w:rPr>
        <w:t>s</w:t>
      </w:r>
    </w:p>
    <w:p>
      <w:pPr>
        <w:spacing w:before="0" w:after="0" w:line="276" w:lineRule="auto"/>
        <w:jc w:val="center"/>
      </w:pPr>
    </w:p>
    <w:p>
      <w:pPr>
        <w:spacing w:before="0" w:after="0" w:line="276" w:lineRule="auto"/>
      </w:pPr>
      <w:bookmarkStart w:id="0" w:name="OLE_LINK1"/>
      <w:bookmarkStart w:id="1" w:name="OLE_LINK2"/>
      <w:r>
        <w:rPr>
          <w:rFonts w:ascii="Arial" w:eastAsia="Arial" w:hAnsi="Arial" w:cs="Arial"/>
        </w:rPr>
        <w:t>As the number of cases of COVID-19 (also known as coronavirus) increases, so does the importance of counselors in helping beneficiaries understand what services are covered</w:t>
      </w:r>
      <w:r>
        <w:rPr>
          <w:rFonts w:ascii="Arial" w:eastAsia="Arial" w:hAnsi="Arial" w:cs="Arial"/>
        </w:rPr>
        <w:t>.</w:t>
      </w:r>
      <w:r>
        <w:rPr>
          <w:rFonts w:ascii="Arial" w:eastAsia="Arial" w:hAnsi="Arial" w:cs="Arial"/>
        </w:rPr>
        <w:t xml:space="preserve"> </w:t>
      </w:r>
      <w:bookmarkEnd w:id="0"/>
      <w:bookmarkEnd w:id="1"/>
    </w:p>
    <w:p>
      <w:pPr>
        <w:spacing w:before="0" w:after="0" w:line="276" w:lineRule="auto"/>
      </w:pPr>
    </w:p>
    <w:p>
      <w:pPr>
        <w:spacing w:before="0" w:after="0" w:line="276" w:lineRule="auto"/>
        <w:rPr>
          <w:sz w:val="28"/>
          <w:szCs w:val="28"/>
        </w:rPr>
      </w:pPr>
      <w:r>
        <w:rPr>
          <w:rFonts w:ascii="Arial" w:eastAsia="Arial" w:hAnsi="Arial" w:cs="Arial"/>
          <w:b/>
          <w:bCs/>
          <w:sz w:val="28"/>
          <w:szCs w:val="28"/>
        </w:rPr>
        <w:t xml:space="preserve">Covered services include: </w:t>
      </w:r>
    </w:p>
    <w:tbl>
      <w:tblPr>
        <w:tblInd w:w="113" w:type="dxa"/>
        <w:tblCellMar>
          <w:top w:w="0" w:type="dxa"/>
          <w:left w:w="0" w:type="dxa"/>
          <w:bottom w:w="0" w:type="dxa"/>
          <w:right w:w="0" w:type="dxa"/>
        </w:tblCellMar>
      </w:tblPr>
      <w:tblGrid>
        <w:gridCol w:w="9247"/>
      </w:tblGrid>
      <w:tr>
        <w:tblPrEx>
          <w:tblInd w:w="113" w:type="dxa"/>
          <w:tblCellMar>
            <w:top w:w="0" w:type="dxa"/>
            <w:left w:w="0" w:type="dxa"/>
            <w:bottom w:w="0" w:type="dxa"/>
            <w:right w:w="0" w:type="dxa"/>
          </w:tblCellMar>
        </w:tblPrEx>
        <w:trPr>
          <w:trHeight w:val="3348"/>
        </w:trPr>
        <w:tc>
          <w:tcPr>
            <w:tcW w:w="10243" w:type="dxa"/>
            <w:tcBorders>
              <w:bottom w:val="single" w:sz="4" w:space="0" w:color="000000"/>
            </w:tcBorders>
            <w:noWrap w:val="0"/>
            <w:tcMar>
              <w:top w:w="5" w:type="dxa"/>
              <w:left w:w="113" w:type="dxa"/>
              <w:bottom w:w="8" w:type="dxa"/>
              <w:right w:w="113" w:type="dxa"/>
            </w:tcMar>
            <w:vAlign w:val="center"/>
            <w:hideMark/>
          </w:tcPr>
          <w:p>
            <w:pPr>
              <w:spacing w:before="0" w:after="0" w:line="276" w:lineRule="auto"/>
              <w:rPr>
                <w:b w:val="0"/>
                <w:bCs w:val="0"/>
                <w:i w:val="0"/>
                <w:iCs w:val="0"/>
                <w:smallCaps w:val="0"/>
                <w:color w:val="000000"/>
                <w:sz w:val="28"/>
                <w:szCs w:val="28"/>
              </w:rPr>
            </w:pPr>
            <w:r>
              <w:rPr>
                <w:rFonts w:ascii="Arial" w:eastAsia="Arial" w:hAnsi="Arial" w:cs="Arial"/>
                <w:b/>
                <w:bCs/>
                <w:i w:val="0"/>
                <w:iCs w:val="0"/>
                <w:smallCaps w:val="0"/>
                <w:color w:val="000000"/>
                <w:sz w:val="28"/>
                <w:szCs w:val="28"/>
              </w:rPr>
              <w:t>Coronavirus testing</w:t>
            </w: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Coronavirus testing is covered under Medicare Part B as a clinical laboratory test. A beneficiary’s doctor can bill Medicare for this test beginning April 1, 2020 for testing provided after February 4, 2020.</w:t>
            </w:r>
            <w:r>
              <w:rPr>
                <w:rFonts w:ascii="Arial" w:eastAsia="Arial" w:hAnsi="Arial" w:cs="Arial"/>
                <w:b w:val="0"/>
                <w:bCs w:val="0"/>
                <w:i w:val="0"/>
                <w:iCs w:val="0"/>
                <w:smallCaps w:val="0"/>
                <w:color w:val="000000"/>
              </w:rPr>
              <w:t> </w:t>
            </w:r>
            <w:r>
              <w:rPr>
                <w:rFonts w:ascii="Arial" w:eastAsia="Arial" w:hAnsi="Arial" w:cs="Arial"/>
                <w:b w:val="0"/>
                <w:bCs w:val="0"/>
                <w:i w:val="0"/>
                <w:iCs w:val="0"/>
                <w:smallCaps w:val="0"/>
                <w:color w:val="000000"/>
                <w:shd w:val="clear" w:color="auto" w:fill="FFFFFF"/>
              </w:rPr>
              <w:t xml:space="preserve">As of September 2, 2020, and for the rest of the COVID-19 public health emergency, Medicare covers one coronavirus test without the order of a physician or other health practitioner. However, Medicare requires a physician’s or other health care practitioner’s order for any additional coronavirus tests a beneficiary receives. </w:t>
            </w:r>
            <w:r>
              <w:rPr>
                <w:rFonts w:ascii="Arial" w:eastAsia="Arial" w:hAnsi="Arial" w:cs="Arial"/>
                <w:b w:val="0"/>
                <w:bCs w:val="0"/>
                <w:i w:val="0"/>
                <w:iCs w:val="0"/>
                <w:smallCaps w:val="0"/>
                <w:color w:val="000000"/>
                <w:shd w:val="clear" w:color="auto" w:fill="FFFFFF"/>
              </w:rPr>
              <w:t> </w:t>
            </w:r>
            <w:r>
              <w:rPr>
                <w:rFonts w:ascii="Arial" w:eastAsia="Arial" w:hAnsi="Arial" w:cs="Arial"/>
                <w:b w:val="0"/>
                <w:bCs w:val="0"/>
                <w:i w:val="0"/>
                <w:iCs w:val="0"/>
                <w:smallCaps w:val="0"/>
                <w:color w:val="000000"/>
              </w:rPr>
              <w:t>A beneficiary will owe nothing for the laboratory test and associated provider visits (no deductible, coinsurance, or copayment). This applies to both Original Medicare and Medicare Advantage Plans.</w:t>
            </w:r>
          </w:p>
        </w:tc>
      </w:tr>
      <w:tr>
        <w:tblPrEx>
          <w:tblInd w:w="113" w:type="dxa"/>
          <w:tblCellMar>
            <w:top w:w="0" w:type="dxa"/>
            <w:left w:w="0" w:type="dxa"/>
            <w:bottom w:w="0" w:type="dxa"/>
            <w:right w:w="0" w:type="dxa"/>
          </w:tblCellMar>
        </w:tblPrEx>
        <w:trPr>
          <w:trHeight w:val="3383"/>
        </w:trPr>
        <w:tc>
          <w:tcPr>
            <w:tcW w:w="10243" w:type="dxa"/>
            <w:tcBorders>
              <w:top w:val="single" w:sz="4" w:space="0" w:color="000000"/>
              <w:bottom w:val="single" w:sz="4" w:space="0" w:color="000000"/>
            </w:tcBorders>
            <w:noWrap w:val="0"/>
            <w:tcMar>
              <w:top w:w="8" w:type="dxa"/>
              <w:left w:w="113" w:type="dxa"/>
              <w:bottom w:w="8" w:type="dxa"/>
              <w:right w:w="113" w:type="dxa"/>
            </w:tcMar>
            <w:vAlign w:val="center"/>
            <w:hideMark/>
          </w:tcPr>
          <w:p>
            <w:pPr>
              <w:spacing w:before="0" w:after="0" w:line="276" w:lineRule="auto"/>
              <w:rPr>
                <w:b w:val="0"/>
                <w:bCs w:val="0"/>
                <w:i w:val="0"/>
                <w:iCs w:val="0"/>
                <w:smallCaps w:val="0"/>
                <w:color w:val="000000"/>
                <w:sz w:val="28"/>
                <w:szCs w:val="28"/>
              </w:rPr>
            </w:pPr>
            <w:r>
              <w:rPr>
                <w:rFonts w:ascii="Arial" w:eastAsia="Arial" w:hAnsi="Arial" w:cs="Arial"/>
                <w:b/>
                <w:bCs/>
                <w:i w:val="0"/>
                <w:iCs w:val="0"/>
                <w:smallCaps w:val="0"/>
                <w:color w:val="000000"/>
                <w:sz w:val="28"/>
                <w:szCs w:val="28"/>
              </w:rPr>
              <w:t>COVID-19 vaccine</w:t>
            </w: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 xml:space="preserve">A COVID-19 vaccine has been authorized for limited emergency use. This emergency authorization means that the vaccine is only available for certain groups of people, such as nursing home residents and health care workers. The vaccine is not yet approved for or available to everyone. </w:t>
            </w:r>
            <w:r>
              <w:rPr>
                <w:rFonts w:ascii="Arial" w:eastAsia="Arial" w:hAnsi="Arial" w:cs="Arial"/>
                <w:b w:val="0"/>
                <w:bCs w:val="0"/>
                <w:i w:val="0"/>
                <w:iCs w:val="0"/>
                <w:smallCaps w:val="0"/>
                <w:color w:val="000000"/>
              </w:rPr>
              <w:t xml:space="preserve">Beneficiaries should speak with their </w:t>
            </w:r>
            <w:r>
              <w:rPr>
                <w:rFonts w:ascii="Arial" w:eastAsia="Arial" w:hAnsi="Arial" w:cs="Arial"/>
                <w:b w:val="0"/>
                <w:bCs w:val="0"/>
                <w:i w:val="0"/>
                <w:iCs w:val="0"/>
                <w:smallCaps w:val="0"/>
                <w:color w:val="000000"/>
              </w:rPr>
              <w:t xml:space="preserve">doctor to learn more about eligibility to receive the vaccine and its availability in </w:t>
            </w:r>
            <w:r>
              <w:rPr>
                <w:rFonts w:ascii="Arial" w:eastAsia="Arial" w:hAnsi="Arial" w:cs="Arial"/>
                <w:b w:val="0"/>
                <w:bCs w:val="0"/>
                <w:i w:val="0"/>
                <w:iCs w:val="0"/>
                <w:smallCaps w:val="0"/>
                <w:color w:val="000000"/>
              </w:rPr>
              <w:t>their</w:t>
            </w:r>
            <w:r>
              <w:rPr>
                <w:rFonts w:ascii="Arial" w:eastAsia="Arial" w:hAnsi="Arial" w:cs="Arial"/>
                <w:b w:val="0"/>
                <w:bCs w:val="0"/>
                <w:i w:val="0"/>
                <w:iCs w:val="0"/>
                <w:smallCaps w:val="0"/>
                <w:color w:val="000000"/>
              </w:rPr>
              <w:t xml:space="preserve"> state.</w:t>
            </w:r>
            <w:r>
              <w:rPr>
                <w:rFonts w:ascii="Arial" w:eastAsia="Arial" w:hAnsi="Arial" w:cs="Arial"/>
                <w:b w:val="0"/>
                <w:bCs w:val="0"/>
                <w:i w:val="0"/>
                <w:iCs w:val="0"/>
                <w:smallCaps w:val="0"/>
                <w:color w:val="000000"/>
              </w:rPr>
              <w:t xml:space="preserve">  </w:t>
            </w:r>
          </w:p>
          <w:p>
            <w:pPr>
              <w:spacing w:before="0" w:after="0" w:line="276" w:lineRule="auto"/>
              <w:rPr>
                <w:b w:val="0"/>
                <w:bCs w:val="0"/>
                <w:i w:val="0"/>
                <w:iCs w:val="0"/>
                <w:smallCaps w:val="0"/>
                <w:color w:val="000000"/>
              </w:rPr>
            </w:pP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 xml:space="preserve">Original Medicare Part B covers the vaccine, regardless of whether </w:t>
            </w:r>
            <w:r>
              <w:rPr>
                <w:rFonts w:ascii="Arial" w:eastAsia="Arial" w:hAnsi="Arial" w:cs="Arial"/>
                <w:b w:val="0"/>
                <w:bCs w:val="0"/>
                <w:i w:val="0"/>
                <w:iCs w:val="0"/>
                <w:smallCaps w:val="0"/>
                <w:color w:val="000000"/>
              </w:rPr>
              <w:t>a beneficiary</w:t>
            </w:r>
            <w:r>
              <w:rPr>
                <w:rFonts w:ascii="Arial" w:eastAsia="Arial" w:hAnsi="Arial" w:cs="Arial"/>
                <w:b w:val="0"/>
                <w:bCs w:val="0"/>
                <w:i w:val="0"/>
                <w:iCs w:val="0"/>
                <w:smallCaps w:val="0"/>
                <w:color w:val="000000"/>
              </w:rPr>
              <w:t xml:space="preserve"> </w:t>
            </w:r>
            <w:r>
              <w:rPr>
                <w:rFonts w:ascii="Arial" w:eastAsia="Arial" w:hAnsi="Arial" w:cs="Arial"/>
                <w:b w:val="0"/>
                <w:bCs w:val="0"/>
                <w:i w:val="0"/>
                <w:iCs w:val="0"/>
                <w:smallCaps w:val="0"/>
                <w:color w:val="000000"/>
              </w:rPr>
              <w:t xml:space="preserve">has </w:t>
            </w:r>
            <w:r>
              <w:rPr>
                <w:rFonts w:ascii="Arial" w:eastAsia="Arial" w:hAnsi="Arial" w:cs="Arial"/>
                <w:b w:val="0"/>
                <w:bCs w:val="0"/>
                <w:i w:val="0"/>
                <w:iCs w:val="0"/>
                <w:smallCaps w:val="0"/>
                <w:color w:val="000000"/>
              </w:rPr>
              <w:t xml:space="preserve">Original Medicare or a Medicare Advantage Plan. </w:t>
            </w:r>
            <w:r>
              <w:rPr>
                <w:rFonts w:ascii="Arial" w:eastAsia="Arial" w:hAnsi="Arial" w:cs="Arial"/>
                <w:b w:val="0"/>
                <w:bCs w:val="0"/>
                <w:i w:val="0"/>
                <w:iCs w:val="0"/>
                <w:smallCaps w:val="0"/>
                <w:color w:val="000000"/>
              </w:rPr>
              <w:t>They</w:t>
            </w:r>
            <w:r>
              <w:rPr>
                <w:rFonts w:ascii="Arial" w:eastAsia="Arial" w:hAnsi="Arial" w:cs="Arial"/>
                <w:b w:val="0"/>
                <w:bCs w:val="0"/>
                <w:i w:val="0"/>
                <w:iCs w:val="0"/>
                <w:smallCaps w:val="0"/>
                <w:color w:val="000000"/>
              </w:rPr>
              <w:t xml:space="preserve"> will owe no cost-sharing (deductibles, copayments, or coinsurance).</w:t>
            </w:r>
          </w:p>
        </w:tc>
      </w:tr>
      <w:tr>
        <w:tblPrEx>
          <w:tblInd w:w="113" w:type="dxa"/>
          <w:tblCellMar>
            <w:top w:w="0" w:type="dxa"/>
            <w:left w:w="0" w:type="dxa"/>
            <w:bottom w:w="0" w:type="dxa"/>
            <w:right w:w="0" w:type="dxa"/>
          </w:tblCellMar>
        </w:tblPrEx>
        <w:trPr>
          <w:trHeight w:val="1259"/>
        </w:trPr>
        <w:tc>
          <w:tcPr>
            <w:tcW w:w="10243" w:type="dxa"/>
            <w:tcBorders>
              <w:top w:val="single" w:sz="4" w:space="0" w:color="000000"/>
              <w:bottom w:val="single" w:sz="4" w:space="0" w:color="000000"/>
            </w:tcBorders>
            <w:noWrap w:val="0"/>
            <w:tcMar>
              <w:top w:w="8" w:type="dxa"/>
              <w:left w:w="113" w:type="dxa"/>
              <w:bottom w:w="8" w:type="dxa"/>
              <w:right w:w="113" w:type="dxa"/>
            </w:tcMar>
            <w:vAlign w:val="center"/>
            <w:hideMark/>
          </w:tcPr>
          <w:p>
            <w:pPr>
              <w:spacing w:before="0" w:after="0" w:line="276" w:lineRule="auto"/>
              <w:rPr>
                <w:b w:val="0"/>
                <w:bCs w:val="0"/>
                <w:i w:val="0"/>
                <w:iCs w:val="0"/>
                <w:smallCaps w:val="0"/>
                <w:color w:val="000000"/>
                <w:sz w:val="28"/>
                <w:szCs w:val="28"/>
              </w:rPr>
            </w:pPr>
            <w:r>
              <w:rPr>
                <w:rFonts w:ascii="Arial" w:eastAsia="Arial" w:hAnsi="Arial" w:cs="Arial"/>
                <w:b/>
                <w:bCs/>
                <w:i w:val="0"/>
                <w:iCs w:val="0"/>
                <w:smallCaps w:val="0"/>
                <w:color w:val="000000"/>
                <w:sz w:val="28"/>
                <w:szCs w:val="28"/>
              </w:rPr>
              <w:t>COVID-19 antibody treatment</w:t>
            </w: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 xml:space="preserve">Medicare covers </w:t>
            </w:r>
            <w:r>
              <w:rPr>
                <w:rFonts w:ascii="Arial" w:eastAsia="Arial" w:hAnsi="Arial" w:cs="Arial"/>
                <w:b w:val="0"/>
                <w:bCs w:val="0"/>
                <w:i w:val="0"/>
                <w:iCs w:val="0"/>
                <w:smallCaps w:val="0"/>
                <w:color w:val="000000"/>
              </w:rPr>
              <w:t>monoclonal antibodies to treat COVID-19</w:t>
            </w:r>
            <w:r>
              <w:rPr>
                <w:rFonts w:ascii="Arial" w:eastAsia="Arial" w:hAnsi="Arial" w:cs="Arial"/>
                <w:b w:val="0"/>
                <w:bCs w:val="0"/>
                <w:i w:val="0"/>
                <w:iCs w:val="0"/>
                <w:smallCaps w:val="0"/>
                <w:color w:val="000000"/>
              </w:rPr>
              <w:t xml:space="preserve">. Beneficiaries will owe no cost-sharing (deducible, coinsurance, or copayment). </w:t>
            </w:r>
          </w:p>
        </w:tc>
      </w:tr>
      <w:tr>
        <w:tblPrEx>
          <w:tblInd w:w="113" w:type="dxa"/>
          <w:tblCellMar>
            <w:top w:w="0" w:type="dxa"/>
            <w:left w:w="0" w:type="dxa"/>
            <w:bottom w:w="0" w:type="dxa"/>
            <w:right w:w="0" w:type="dxa"/>
          </w:tblCellMar>
        </w:tblPrEx>
        <w:trPr>
          <w:trHeight w:val="2474"/>
        </w:trPr>
        <w:tc>
          <w:tcPr>
            <w:tcW w:w="10243" w:type="dxa"/>
            <w:tcBorders>
              <w:top w:val="single" w:sz="4" w:space="0" w:color="000000"/>
              <w:bottom w:val="single" w:sz="4" w:space="0" w:color="000000"/>
            </w:tcBorders>
            <w:noWrap w:val="0"/>
            <w:tcMar>
              <w:top w:w="8" w:type="dxa"/>
              <w:left w:w="113" w:type="dxa"/>
              <w:bottom w:w="8" w:type="dxa"/>
              <w:right w:w="113" w:type="dxa"/>
            </w:tcMar>
            <w:vAlign w:val="center"/>
            <w:hideMark/>
          </w:tcPr>
          <w:p>
            <w:pPr>
              <w:spacing w:before="0" w:after="0" w:line="276" w:lineRule="auto"/>
              <w:rPr>
                <w:b w:val="0"/>
                <w:bCs w:val="0"/>
                <w:i w:val="0"/>
                <w:iCs w:val="0"/>
                <w:smallCaps w:val="0"/>
                <w:color w:val="000000"/>
                <w:sz w:val="28"/>
                <w:szCs w:val="28"/>
              </w:rPr>
            </w:pPr>
            <w:r>
              <w:rPr>
                <w:rFonts w:ascii="Arial" w:eastAsia="Arial" w:hAnsi="Arial" w:cs="Arial"/>
                <w:b/>
                <w:bCs/>
                <w:i w:val="0"/>
                <w:iCs w:val="0"/>
                <w:smallCaps w:val="0"/>
                <w:color w:val="000000"/>
                <w:sz w:val="28"/>
                <w:szCs w:val="28"/>
              </w:rPr>
              <w:t>Inpatient hospital care</w:t>
            </w: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 xml:space="preserve">Inpatient hospital care is covered under Medicare Part A, and standard coverage rules and cost-sharing apply. Medicare typically covers a semi-private room, but it should cover a private room when it is medically necessary. For example, if a beneficiary needs a private room in order to be quarantined, </w:t>
            </w:r>
            <w:r>
              <w:rPr>
                <w:rFonts w:ascii="Arial" w:eastAsia="Arial" w:hAnsi="Arial" w:cs="Arial"/>
                <w:b w:val="0"/>
                <w:bCs w:val="0"/>
                <w:i w:val="0"/>
                <w:iCs w:val="0"/>
                <w:smallCaps w:val="0"/>
                <w:color w:val="000000"/>
              </w:rPr>
              <w:t xml:space="preserve">they </w:t>
            </w:r>
            <w:r>
              <w:rPr>
                <w:rFonts w:ascii="Arial" w:eastAsia="Arial" w:hAnsi="Arial" w:cs="Arial"/>
                <w:b w:val="0"/>
                <w:bCs w:val="0"/>
                <w:i w:val="0"/>
                <w:iCs w:val="0"/>
                <w:smallCaps w:val="0"/>
                <w:color w:val="000000"/>
              </w:rPr>
              <w:t xml:space="preserve">should not be asked to pay an additional cost for the private room. If a beneficiary has a Medicare Advantage Plan, they should contact their plan to learn about its costs and coverage rules. </w:t>
            </w:r>
          </w:p>
        </w:tc>
      </w:tr>
    </w:tbl>
    <w:p>
      <w:pPr>
        <w:spacing w:before="0" w:after="0" w:line="276" w:lineRule="auto"/>
        <w:rPr>
          <w:sz w:val="28"/>
          <w:szCs w:val="28"/>
        </w:rPr>
      </w:pPr>
      <w:bookmarkStart w:id="2" w:name="OLE_LINK3"/>
      <w:bookmarkStart w:id="3" w:name="OLE_LINK4"/>
    </w:p>
    <w:p>
      <w:pPr>
        <w:spacing w:before="0" w:after="0" w:line="276" w:lineRule="auto"/>
        <w:rPr>
          <w:sz w:val="28"/>
          <w:szCs w:val="28"/>
        </w:rPr>
      </w:pPr>
    </w:p>
    <w:p>
      <w:pPr>
        <w:spacing w:before="0" w:after="0" w:line="276" w:lineRule="auto"/>
        <w:rPr>
          <w:sz w:val="28"/>
          <w:szCs w:val="28"/>
        </w:rPr>
      </w:pPr>
    </w:p>
    <w:p>
      <w:pPr>
        <w:spacing w:before="0" w:after="0" w:line="276" w:lineRule="auto"/>
        <w:rPr>
          <w:sz w:val="28"/>
          <w:szCs w:val="28"/>
        </w:rPr>
      </w:pPr>
      <w:r>
        <w:rPr>
          <w:rFonts w:ascii="Arial" w:eastAsia="Arial" w:hAnsi="Arial" w:cs="Arial"/>
          <w:b/>
          <w:bCs/>
          <w:sz w:val="28"/>
          <w:szCs w:val="28"/>
        </w:rPr>
        <w:t>Covered services include (continued):</w:t>
      </w:r>
    </w:p>
    <w:tbl>
      <w:tblPr>
        <w:tblInd w:w="113" w:type="dxa"/>
        <w:tblCellMar>
          <w:top w:w="0" w:type="dxa"/>
          <w:left w:w="0" w:type="dxa"/>
          <w:bottom w:w="0" w:type="dxa"/>
          <w:right w:w="0" w:type="dxa"/>
        </w:tblCellMar>
      </w:tblPr>
      <w:tblGrid>
        <w:gridCol w:w="9247"/>
      </w:tblGrid>
      <w:tr>
        <w:tblPrEx>
          <w:tblInd w:w="113" w:type="dxa"/>
          <w:tblCellMar>
            <w:top w:w="0" w:type="dxa"/>
            <w:left w:w="0" w:type="dxa"/>
            <w:bottom w:w="0" w:type="dxa"/>
            <w:right w:w="0" w:type="dxa"/>
          </w:tblCellMar>
        </w:tblPrEx>
        <w:trPr>
          <w:trHeight w:val="2528"/>
        </w:trPr>
        <w:tc>
          <w:tcPr>
            <w:tcW w:w="10553" w:type="dxa"/>
            <w:tcBorders>
              <w:bottom w:val="single" w:sz="4" w:space="0" w:color="000000"/>
            </w:tcBorders>
            <w:noWrap w:val="0"/>
            <w:tcMar>
              <w:top w:w="5" w:type="dxa"/>
              <w:left w:w="113" w:type="dxa"/>
              <w:bottom w:w="8" w:type="dxa"/>
              <w:right w:w="113" w:type="dxa"/>
            </w:tcMar>
            <w:vAlign w:val="center"/>
            <w:hideMark/>
          </w:tcPr>
          <w:p>
            <w:pPr>
              <w:spacing w:before="0" w:after="0" w:line="276" w:lineRule="auto"/>
              <w:rPr>
                <w:b w:val="0"/>
                <w:bCs w:val="0"/>
                <w:i w:val="0"/>
                <w:iCs w:val="0"/>
                <w:smallCaps w:val="0"/>
                <w:color w:val="000000"/>
                <w:sz w:val="28"/>
                <w:szCs w:val="28"/>
              </w:rPr>
            </w:pPr>
            <w:r>
              <w:rPr>
                <w:rFonts w:ascii="Arial" w:eastAsia="Arial" w:hAnsi="Arial" w:cs="Arial"/>
                <w:b/>
                <w:bCs/>
                <w:i w:val="0"/>
                <w:iCs w:val="0"/>
                <w:smallCaps w:val="0"/>
                <w:color w:val="000000"/>
                <w:sz w:val="28"/>
                <w:szCs w:val="28"/>
              </w:rPr>
              <w:t>Outpatient hospital care</w:t>
            </w: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Outpatient</w:t>
            </w:r>
            <w:r>
              <w:rPr>
                <w:rFonts w:ascii="Arial" w:eastAsia="Arial" w:hAnsi="Arial" w:cs="Arial"/>
                <w:b/>
                <w:bCs/>
                <w:i w:val="0"/>
                <w:iCs w:val="0"/>
                <w:smallCaps w:val="0"/>
                <w:color w:val="000000"/>
              </w:rPr>
              <w:t xml:space="preserve"> </w:t>
            </w:r>
            <w:r>
              <w:rPr>
                <w:rFonts w:ascii="Arial" w:eastAsia="Arial" w:hAnsi="Arial" w:cs="Arial"/>
                <w:b w:val="0"/>
                <w:bCs w:val="0"/>
                <w:i w:val="0"/>
                <w:iCs w:val="0"/>
                <w:smallCaps w:val="0"/>
                <w:color w:val="000000"/>
              </w:rPr>
              <w:t>hospital care is covered</w:t>
            </w:r>
            <w:r>
              <w:rPr>
                <w:rFonts w:ascii="Arial" w:eastAsia="Arial" w:hAnsi="Arial" w:cs="Arial"/>
                <w:b/>
                <w:bCs/>
                <w:i w:val="0"/>
                <w:iCs w:val="0"/>
                <w:smallCaps w:val="0"/>
                <w:color w:val="000000"/>
              </w:rPr>
              <w:t xml:space="preserve"> </w:t>
            </w:r>
            <w:r>
              <w:rPr>
                <w:rFonts w:ascii="Arial" w:eastAsia="Arial" w:hAnsi="Arial" w:cs="Arial"/>
                <w:b w:val="0"/>
                <w:bCs w:val="0"/>
                <w:i w:val="0"/>
                <w:iCs w:val="0"/>
                <w:smallCaps w:val="0"/>
                <w:color w:val="000000"/>
              </w:rPr>
              <w:t xml:space="preserve">under Part B, and standard coverage rules and cost-sharing apply. If a beneficiary receives observation services at a hospital, they are considered an outpatient—even if they have a room or stay overnight. Whether a beneficiary is an inpatient or outpatient is important because, depending on their situation, </w:t>
            </w:r>
            <w:r>
              <w:rPr>
                <w:rFonts w:ascii="Arial" w:eastAsia="Arial" w:hAnsi="Arial" w:cs="Arial"/>
                <w:b w:val="0"/>
                <w:bCs w:val="0"/>
                <w:i w:val="0"/>
                <w:iCs w:val="0"/>
                <w:smallCaps w:val="0"/>
                <w:color w:val="000000"/>
              </w:rPr>
              <w:t xml:space="preserve">a beneficiary may need an inpatient stay before Medicare will cover skilled nursing facility (SNF) care, but this rule has been relaxed somewhat during the COVID-19 emergency (see below). </w:t>
            </w:r>
          </w:p>
        </w:tc>
      </w:tr>
      <w:tr>
        <w:tblPrEx>
          <w:tblInd w:w="113" w:type="dxa"/>
          <w:tblCellMar>
            <w:top w:w="0" w:type="dxa"/>
            <w:left w:w="0" w:type="dxa"/>
            <w:bottom w:w="0" w:type="dxa"/>
            <w:right w:w="0" w:type="dxa"/>
          </w:tblCellMar>
        </w:tblPrEx>
        <w:trPr>
          <w:trHeight w:val="6209"/>
        </w:trPr>
        <w:tc>
          <w:tcPr>
            <w:tcW w:w="10553" w:type="dxa"/>
            <w:tcBorders>
              <w:top w:val="single" w:sz="4" w:space="0" w:color="000000"/>
              <w:bottom w:val="single" w:sz="4" w:space="0" w:color="000000"/>
            </w:tcBorders>
            <w:noWrap w:val="0"/>
            <w:tcMar>
              <w:top w:w="8" w:type="dxa"/>
              <w:left w:w="113" w:type="dxa"/>
              <w:bottom w:w="8" w:type="dxa"/>
              <w:right w:w="113" w:type="dxa"/>
            </w:tcMar>
            <w:vAlign w:val="center"/>
            <w:hideMark/>
          </w:tcPr>
          <w:p>
            <w:pPr>
              <w:spacing w:before="0" w:after="0" w:line="276" w:lineRule="auto"/>
              <w:rPr>
                <w:b w:val="0"/>
                <w:bCs w:val="0"/>
                <w:i w:val="0"/>
                <w:iCs w:val="0"/>
                <w:smallCaps w:val="0"/>
                <w:color w:val="000000"/>
                <w:sz w:val="28"/>
                <w:szCs w:val="28"/>
              </w:rPr>
            </w:pPr>
            <w:r>
              <w:rPr>
                <w:rFonts w:ascii="Arial" w:eastAsia="Arial" w:hAnsi="Arial" w:cs="Arial"/>
                <w:b/>
                <w:bCs/>
                <w:i w:val="0"/>
                <w:iCs w:val="0"/>
                <w:smallCaps w:val="0"/>
                <w:color w:val="000000"/>
                <w:sz w:val="28"/>
                <w:szCs w:val="28"/>
              </w:rPr>
              <w:t>Skilled nursing facility care</w:t>
            </w: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 xml:space="preserve">Medicare Part A generally only covers </w:t>
            </w:r>
            <w:r>
              <w:rPr>
                <w:rFonts w:ascii="Arial" w:eastAsia="Arial" w:hAnsi="Arial" w:cs="Arial"/>
                <w:b w:val="0"/>
                <w:bCs w:val="0"/>
                <w:i w:val="0"/>
                <w:iCs w:val="0"/>
                <w:smallCaps w:val="0"/>
                <w:color w:val="000000"/>
              </w:rPr>
              <w:t>Skilled nursing facility (</w:t>
            </w:r>
            <w:r>
              <w:rPr>
                <w:rFonts w:ascii="Arial" w:eastAsia="Arial" w:hAnsi="Arial" w:cs="Arial"/>
                <w:b w:val="0"/>
                <w:bCs w:val="0"/>
                <w:i w:val="0"/>
                <w:iCs w:val="0"/>
                <w:smallCaps w:val="0"/>
                <w:color w:val="000000"/>
              </w:rPr>
              <w:t>SNF</w:t>
            </w:r>
            <w:r>
              <w:rPr>
                <w:rFonts w:ascii="Arial" w:eastAsia="Arial" w:hAnsi="Arial" w:cs="Arial"/>
                <w:b w:val="0"/>
                <w:bCs w:val="0"/>
                <w:i w:val="0"/>
                <w:iCs w:val="0"/>
                <w:smallCaps w:val="0"/>
                <w:color w:val="000000"/>
              </w:rPr>
              <w:t>)</w:t>
            </w:r>
            <w:r>
              <w:rPr>
                <w:rFonts w:ascii="Arial" w:eastAsia="Arial" w:hAnsi="Arial" w:cs="Arial"/>
                <w:b w:val="0"/>
                <w:bCs w:val="0"/>
                <w:i w:val="0"/>
                <w:iCs w:val="0"/>
                <w:smallCaps w:val="0"/>
                <w:color w:val="000000"/>
              </w:rPr>
              <w:t xml:space="preserve"> care if someone was a hospital inpatient for three days in a row before entering the SNF. This is known as the three-day qualifying hospital stay. At this time, Medicare has removed the three-day qualifying hospital stay requirement for beneficiaries who experience dislocations or are otherwise affected by the coronavirus public health emergency.</w:t>
            </w:r>
            <w:r>
              <w:rPr>
                <w:rFonts w:ascii="Arial" w:eastAsia="Arial" w:hAnsi="Arial" w:cs="Arial"/>
                <w:b w:val="0"/>
                <w:bCs w:val="0"/>
                <w:i w:val="0"/>
                <w:iCs w:val="0"/>
                <w:smallCaps w:val="0"/>
                <w:color w:val="000000"/>
              </w:rPr>
              <w:t xml:space="preserve"> </w:t>
            </w:r>
            <w:r>
              <w:rPr>
                <w:rFonts w:ascii="Arial" w:eastAsia="Arial" w:hAnsi="Arial" w:cs="Arial"/>
                <w:b w:val="0"/>
                <w:bCs w:val="0"/>
                <w:i w:val="0"/>
                <w:iCs w:val="0"/>
                <w:smallCaps w:val="0"/>
                <w:color w:val="000000"/>
              </w:rPr>
              <w:t xml:space="preserve">This waiver includes but is not limited to beneficiaries who: </w:t>
            </w:r>
          </w:p>
          <w:p>
            <w:pPr>
              <w:numPr>
                <w:ilvl w:val="0"/>
                <w:numId w:val="1"/>
              </w:numPr>
              <w:pBdr>
                <w:left w:val="none" w:sz="0" w:space="5" w:color="auto"/>
              </w:pBdr>
              <w:spacing w:before="0" w:line="276" w:lineRule="auto"/>
              <w:ind w:left="720" w:right="0" w:hanging="360"/>
              <w:jc w:val="left"/>
              <w:rPr>
                <w:rFonts w:ascii="Times New Roman" w:eastAsia="Times New Roman" w:hAnsi="Times New Roman" w:cs="Times New Roman"/>
                <w:b w:val="0"/>
                <w:bCs w:val="0"/>
                <w:i w:val="0"/>
                <w:iCs w:val="0"/>
                <w:smallCaps w:val="0"/>
                <w:color w:val="000000"/>
              </w:rPr>
            </w:pPr>
            <w:r>
              <w:rPr>
                <w:rFonts w:ascii="Arial" w:eastAsia="Arial" w:hAnsi="Arial" w:cs="Arial"/>
                <w:b w:val="0"/>
                <w:bCs w:val="0"/>
                <w:i w:val="0"/>
                <w:iCs w:val="0"/>
                <w:smallCaps w:val="0"/>
                <w:color w:val="000000"/>
              </w:rPr>
              <w:t>Need to be transferred to a SNF, for example, due to nursing home evacuations or to make room at local hospitals</w:t>
            </w:r>
          </w:p>
          <w:p>
            <w:pPr>
              <w:numPr>
                <w:ilvl w:val="0"/>
                <w:numId w:val="1"/>
              </w:numPr>
              <w:pBdr>
                <w:left w:val="none" w:sz="0" w:space="5" w:color="auto"/>
              </w:pBdr>
              <w:spacing w:after="0" w:line="276" w:lineRule="auto"/>
              <w:ind w:left="720" w:right="0" w:hanging="360"/>
              <w:jc w:val="left"/>
              <w:rPr>
                <w:rFonts w:ascii="Times New Roman" w:eastAsia="Times New Roman" w:hAnsi="Times New Roman" w:cs="Times New Roman"/>
                <w:b w:val="0"/>
                <w:bCs w:val="0"/>
                <w:i w:val="0"/>
                <w:iCs w:val="0"/>
                <w:smallCaps w:val="0"/>
                <w:color w:val="000000"/>
              </w:rPr>
            </w:pPr>
            <w:r>
              <w:rPr>
                <w:rFonts w:ascii="Arial" w:eastAsia="Arial" w:hAnsi="Arial" w:cs="Arial"/>
                <w:b w:val="0"/>
                <w:bCs w:val="0"/>
                <w:i w:val="0"/>
                <w:iCs w:val="0"/>
                <w:smallCaps w:val="0"/>
                <w:color w:val="000000"/>
              </w:rPr>
              <w:t>Need SNF care as a result of the current public health emergency, regardless of whether they were previously in the hospital</w:t>
            </w:r>
          </w:p>
          <w:p>
            <w:pPr>
              <w:spacing w:before="0" w:after="0" w:line="276" w:lineRule="auto"/>
              <w:ind w:left="720"/>
              <w:rPr>
                <w:b w:val="0"/>
                <w:bCs w:val="0"/>
                <w:i w:val="0"/>
                <w:iCs w:val="0"/>
                <w:smallCaps w:val="0"/>
                <w:color w:val="000000"/>
                <w:sz w:val="12"/>
                <w:szCs w:val="12"/>
              </w:rPr>
            </w:pPr>
          </w:p>
          <w:p>
            <w:pPr>
              <w:spacing w:before="120" w:after="0" w:line="276" w:lineRule="auto"/>
              <w:rPr>
                <w:b w:val="0"/>
                <w:bCs w:val="0"/>
                <w:i w:val="0"/>
                <w:iCs w:val="0"/>
                <w:smallCaps w:val="0"/>
                <w:color w:val="000000"/>
              </w:rPr>
            </w:pPr>
            <w:r>
              <w:rPr>
                <w:rFonts w:ascii="Arial" w:eastAsia="Arial" w:hAnsi="Arial" w:cs="Arial"/>
                <w:b w:val="0"/>
                <w:bCs w:val="0"/>
                <w:i w:val="0"/>
                <w:iCs w:val="0"/>
                <w:smallCaps w:val="0"/>
                <w:color w:val="000000"/>
              </w:rPr>
              <w:t>Medicare is also changing other SNF coverage requirements. Typically, Medicare</w:t>
            </w:r>
            <w:r>
              <w:rPr>
                <w:rFonts w:ascii="Arial" w:eastAsia="Arial" w:hAnsi="Arial" w:cs="Arial"/>
                <w:b w:val="0"/>
                <w:bCs w:val="0"/>
                <w:i w:val="0"/>
                <w:iCs w:val="0"/>
                <w:smallCaps w:val="0"/>
                <w:color w:val="000000"/>
              </w:rPr>
              <w:t> </w:t>
            </w:r>
            <w:r>
              <w:rPr>
                <w:rFonts w:ascii="Arial" w:eastAsia="Arial" w:hAnsi="Arial" w:cs="Arial"/>
                <w:b w:val="0"/>
                <w:bCs w:val="0"/>
                <w:i w:val="0"/>
                <w:iCs w:val="0"/>
                <w:smallCaps w:val="0"/>
                <w:color w:val="000000"/>
              </w:rPr>
              <w:t>Part A covers up to 100 days of SNF care</w:t>
            </w:r>
            <w:r>
              <w:rPr>
                <w:rFonts w:ascii="Arial" w:eastAsia="Arial" w:hAnsi="Arial" w:cs="Arial"/>
                <w:b w:val="0"/>
                <w:bCs w:val="0"/>
                <w:i w:val="0"/>
                <w:iCs w:val="0"/>
                <w:smallCaps w:val="0"/>
                <w:color w:val="000000"/>
              </w:rPr>
              <w:t> </w:t>
            </w:r>
            <w:r>
              <w:rPr>
                <w:rFonts w:ascii="Arial" w:eastAsia="Arial" w:hAnsi="Arial" w:cs="Arial"/>
                <w:b w:val="0"/>
                <w:bCs w:val="0"/>
                <w:i w:val="0"/>
                <w:iCs w:val="0"/>
                <w:smallCaps w:val="0"/>
                <w:color w:val="000000"/>
              </w:rPr>
              <w:t>each</w:t>
            </w:r>
            <w:r>
              <w:rPr>
                <w:rFonts w:ascii="Arial" w:eastAsia="Arial" w:hAnsi="Arial" w:cs="Arial"/>
                <w:b w:val="0"/>
                <w:bCs w:val="0"/>
                <w:i w:val="0"/>
                <w:iCs w:val="0"/>
                <w:smallCaps w:val="0"/>
                <w:color w:val="000000"/>
              </w:rPr>
              <w:t> </w:t>
            </w:r>
            <w:r>
              <w:rPr>
                <w:rFonts w:ascii="Arial" w:eastAsia="Arial" w:hAnsi="Arial" w:cs="Arial"/>
                <w:b w:val="0"/>
                <w:bCs w:val="0"/>
                <w:i w:val="0"/>
                <w:iCs w:val="0"/>
                <w:smallCaps w:val="0"/>
                <w:color w:val="000000"/>
              </w:rPr>
              <w:t>benefit period. A benefit period begins when a beneficiary is admitted to a hospital as an inpatient, or to a SNF, and it ends when they have been out of a SNF or hospital for at least 60 days in a row. The 100 days of covered SNF care reset at the beginning of a new benefit period. Beneficiaries who are unable to start a new benefit period because of the public health emergency can get another 100 days of covered SNF care without having to begin a new benefit period.</w:t>
            </w:r>
          </w:p>
          <w:p>
            <w:pPr>
              <w:spacing w:before="120" w:after="0" w:line="276" w:lineRule="auto"/>
              <w:rPr>
                <w:b w:val="0"/>
                <w:bCs w:val="0"/>
                <w:i w:val="0"/>
                <w:iCs w:val="0"/>
                <w:smallCaps w:val="0"/>
                <w:color w:val="000000"/>
              </w:rPr>
            </w:pPr>
            <w:r>
              <w:rPr>
                <w:rFonts w:ascii="Arial" w:eastAsia="Arial" w:hAnsi="Arial" w:cs="Arial"/>
                <w:b/>
                <w:bCs/>
                <w:i w:val="0"/>
                <w:iCs w:val="0"/>
                <w:smallCaps w:val="0"/>
                <w:color w:val="000000"/>
              </w:rPr>
              <w:t>These waivers apply to all SNFs, meaning a SNF does not have to apply to use them.</w:t>
            </w:r>
            <w:r>
              <w:rPr>
                <w:rFonts w:ascii="Arial" w:eastAsia="Arial" w:hAnsi="Arial" w:cs="Arial"/>
                <w:b w:val="0"/>
                <w:bCs w:val="0"/>
                <w:i w:val="0"/>
                <w:iCs w:val="0"/>
                <w:smallCaps w:val="0"/>
                <w:color w:val="000000"/>
              </w:rPr>
              <w:t xml:space="preserve"> </w:t>
            </w:r>
          </w:p>
        </w:tc>
      </w:tr>
      <w:tr>
        <w:tblPrEx>
          <w:tblInd w:w="113" w:type="dxa"/>
          <w:tblCellMar>
            <w:top w:w="0" w:type="dxa"/>
            <w:left w:w="0" w:type="dxa"/>
            <w:bottom w:w="0" w:type="dxa"/>
            <w:right w:w="0" w:type="dxa"/>
          </w:tblCellMar>
        </w:tblPrEx>
        <w:tc>
          <w:tcPr>
            <w:tcW w:w="10553" w:type="dxa"/>
            <w:tcBorders>
              <w:top w:val="single" w:sz="4" w:space="0" w:color="000000"/>
            </w:tcBorders>
            <w:noWrap w:val="0"/>
            <w:tcMar>
              <w:top w:w="8" w:type="dxa"/>
              <w:left w:w="113" w:type="dxa"/>
              <w:bottom w:w="5" w:type="dxa"/>
              <w:right w:w="113" w:type="dxa"/>
            </w:tcMar>
            <w:vAlign w:val="center"/>
            <w:hideMark/>
          </w:tcPr>
          <w:p>
            <w:pPr>
              <w:spacing w:before="0" w:after="0" w:line="276" w:lineRule="auto"/>
              <w:rPr>
                <w:b w:val="0"/>
                <w:bCs w:val="0"/>
                <w:i w:val="0"/>
                <w:iCs w:val="0"/>
                <w:smallCaps w:val="0"/>
                <w:color w:val="000000"/>
                <w:sz w:val="28"/>
                <w:szCs w:val="28"/>
              </w:rPr>
            </w:pPr>
            <w:r>
              <w:rPr>
                <w:rFonts w:ascii="Arial" w:eastAsia="Arial" w:hAnsi="Arial" w:cs="Arial"/>
                <w:b/>
                <w:bCs/>
                <w:i w:val="0"/>
                <w:iCs w:val="0"/>
                <w:smallCaps w:val="0"/>
                <w:color w:val="000000"/>
                <w:sz w:val="28"/>
                <w:szCs w:val="28"/>
              </w:rPr>
              <w:t xml:space="preserve">Home health care </w:t>
            </w: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During the public health emergency, some home health coverage requirements have been changed:</w:t>
            </w:r>
          </w:p>
          <w:p>
            <w:pPr>
              <w:numPr>
                <w:ilvl w:val="0"/>
                <w:numId w:val="2"/>
              </w:numPr>
              <w:pBdr>
                <w:left w:val="none" w:sz="0" w:space="7" w:color="auto"/>
              </w:pBdr>
              <w:spacing w:before="0" w:line="276" w:lineRule="auto"/>
              <w:ind w:left="720" w:right="0" w:hanging="436"/>
              <w:jc w:val="left"/>
              <w:rPr>
                <w:rFonts w:ascii="Times New Roman" w:eastAsia="Times New Roman" w:hAnsi="Times New Roman" w:cs="Times New Roman"/>
                <w:b w:val="0"/>
                <w:bCs w:val="0"/>
                <w:i w:val="0"/>
                <w:iCs w:val="0"/>
                <w:smallCaps w:val="0"/>
                <w:color w:val="000000"/>
              </w:rPr>
            </w:pPr>
            <w:r>
              <w:rPr>
                <w:rFonts w:ascii="Arial" w:eastAsia="Arial" w:hAnsi="Arial" w:cs="Arial"/>
                <w:b w:val="0"/>
                <w:bCs w:val="0"/>
                <w:i w:val="0"/>
                <w:iCs w:val="0"/>
                <w:smallCaps w:val="0"/>
                <w:color w:val="000000"/>
              </w:rPr>
              <w:t xml:space="preserve">The homebound requirement can be met in additional ways. Someone can be considered homebound if their physician certifies that they cannot leave their home because they are at risk of medical complications if they go outside, or if they have a suspected or confirmed case of COVID-19. </w:t>
            </w:r>
          </w:p>
          <w:p>
            <w:pPr>
              <w:numPr>
                <w:ilvl w:val="0"/>
                <w:numId w:val="2"/>
              </w:numPr>
              <w:pBdr>
                <w:left w:val="none" w:sz="0" w:space="7" w:color="auto"/>
              </w:pBdr>
              <w:spacing w:line="276" w:lineRule="auto"/>
              <w:ind w:left="720" w:right="0" w:hanging="436"/>
              <w:jc w:val="left"/>
              <w:rPr>
                <w:rFonts w:ascii="Times New Roman" w:eastAsia="Times New Roman" w:hAnsi="Times New Roman" w:cs="Times New Roman"/>
                <w:b w:val="0"/>
                <w:bCs w:val="0"/>
                <w:i w:val="0"/>
                <w:iCs w:val="0"/>
                <w:smallCaps w:val="0"/>
                <w:color w:val="000000"/>
              </w:rPr>
            </w:pPr>
            <w:r>
              <w:rPr>
                <w:rFonts w:ascii="Arial" w:eastAsia="Arial" w:hAnsi="Arial" w:cs="Arial"/>
                <w:b w:val="0"/>
                <w:bCs w:val="0"/>
                <w:i w:val="0"/>
                <w:iCs w:val="0"/>
                <w:smallCaps w:val="0"/>
                <w:color w:val="000000"/>
              </w:rPr>
              <w:t>A doctor usually must prescribe home health care, but during the public health emergency other providers, including nurse practitioners and physician assistants, can prescribe the care, too. The face-to-face visit requirement can be met through telehealth.</w:t>
            </w:r>
            <w:r>
              <w:rPr>
                <w:rFonts w:ascii="Arial" w:eastAsia="Arial" w:hAnsi="Arial" w:cs="Arial"/>
                <w:b w:val="0"/>
                <w:bCs w:val="0"/>
                <w:i w:val="0"/>
                <w:iCs w:val="0"/>
                <w:smallCaps w:val="0"/>
                <w:color w:val="000000"/>
              </w:rPr>
              <w:t xml:space="preserve">   </w:t>
            </w:r>
          </w:p>
          <w:p>
            <w:pPr>
              <w:numPr>
                <w:ilvl w:val="0"/>
                <w:numId w:val="2"/>
              </w:numPr>
              <w:pBdr>
                <w:left w:val="none" w:sz="0" w:space="7" w:color="auto"/>
              </w:pBdr>
              <w:spacing w:after="160" w:line="276" w:lineRule="auto"/>
              <w:ind w:left="720" w:right="0" w:hanging="436"/>
              <w:jc w:val="left"/>
              <w:rPr>
                <w:rFonts w:ascii="Times New Roman" w:eastAsia="Times New Roman" w:hAnsi="Times New Roman" w:cs="Times New Roman"/>
                <w:b w:val="0"/>
                <w:bCs w:val="0"/>
                <w:i w:val="0"/>
                <w:iCs w:val="0"/>
                <w:smallCaps w:val="0"/>
                <w:color w:val="000000"/>
              </w:rPr>
            </w:pPr>
            <w:r>
              <w:rPr>
                <w:rFonts w:ascii="Arial" w:eastAsia="Arial" w:hAnsi="Arial" w:cs="Arial"/>
                <w:b w:val="0"/>
                <w:bCs w:val="0"/>
                <w:i w:val="0"/>
                <w:iCs w:val="0"/>
                <w:smallCaps w:val="0"/>
                <w:color w:val="000000"/>
              </w:rPr>
              <w:t>Home health care agencies can provide more services via telehealth, as long as the services are listed on the beneficiary’s plan of care. The telehealth services cannot be used in place of in-person services listed on the plan of care.</w:t>
            </w:r>
          </w:p>
        </w:tc>
      </w:tr>
    </w:tbl>
    <w:p>
      <w:pPr>
        <w:spacing w:before="0" w:after="0" w:line="276" w:lineRule="auto"/>
      </w:pPr>
      <w:bookmarkEnd w:id="2"/>
      <w:bookmarkEnd w:id="3"/>
    </w:p>
    <w:p>
      <w:pPr>
        <w:spacing w:before="0" w:after="0" w:line="276" w:lineRule="auto"/>
        <w:rPr>
          <w:sz w:val="28"/>
          <w:szCs w:val="28"/>
        </w:rPr>
      </w:pPr>
      <w:r>
        <w:rPr>
          <w:rFonts w:ascii="Arial" w:eastAsia="Arial" w:hAnsi="Arial" w:cs="Arial"/>
          <w:b/>
          <w:bCs/>
          <w:sz w:val="28"/>
          <w:szCs w:val="28"/>
        </w:rPr>
        <w:t xml:space="preserve">Covered services include (continued): </w:t>
      </w:r>
    </w:p>
    <w:tbl>
      <w:tblPr>
        <w:tblInd w:w="113" w:type="dxa"/>
        <w:tblCellMar>
          <w:top w:w="0" w:type="dxa"/>
          <w:left w:w="0" w:type="dxa"/>
          <w:bottom w:w="0" w:type="dxa"/>
          <w:right w:w="0" w:type="dxa"/>
        </w:tblCellMar>
      </w:tblPr>
      <w:tblGrid>
        <w:gridCol w:w="9247"/>
      </w:tblGrid>
      <w:tr>
        <w:tblPrEx>
          <w:tblInd w:w="113" w:type="dxa"/>
          <w:tblCellMar>
            <w:top w:w="0" w:type="dxa"/>
            <w:left w:w="0" w:type="dxa"/>
            <w:bottom w:w="0" w:type="dxa"/>
            <w:right w:w="0" w:type="dxa"/>
          </w:tblCellMar>
        </w:tblPrEx>
        <w:trPr>
          <w:trHeight w:val="2268"/>
        </w:trPr>
        <w:tc>
          <w:tcPr>
            <w:tcW w:w="10472" w:type="dxa"/>
            <w:tcBorders>
              <w:bottom w:val="single" w:sz="4" w:space="0" w:color="000000"/>
            </w:tcBorders>
            <w:noWrap w:val="0"/>
            <w:tcMar>
              <w:top w:w="5" w:type="dxa"/>
              <w:left w:w="113" w:type="dxa"/>
              <w:bottom w:w="8" w:type="dxa"/>
              <w:right w:w="113" w:type="dxa"/>
            </w:tcMar>
            <w:vAlign w:val="center"/>
            <w:hideMark/>
          </w:tcPr>
          <w:p>
            <w:pPr>
              <w:spacing w:before="0" w:after="0" w:line="276" w:lineRule="auto"/>
              <w:rPr>
                <w:b w:val="0"/>
                <w:bCs w:val="0"/>
                <w:i w:val="0"/>
                <w:iCs w:val="0"/>
                <w:smallCaps w:val="0"/>
                <w:color w:val="000000"/>
                <w:sz w:val="28"/>
                <w:szCs w:val="28"/>
              </w:rPr>
            </w:pPr>
            <w:r>
              <w:rPr>
                <w:rFonts w:ascii="Arial" w:eastAsia="Arial" w:hAnsi="Arial" w:cs="Arial"/>
                <w:b/>
                <w:bCs/>
                <w:i w:val="0"/>
                <w:iCs w:val="0"/>
                <w:smallCaps w:val="0"/>
                <w:color w:val="000000"/>
                <w:sz w:val="28"/>
                <w:szCs w:val="28"/>
              </w:rPr>
              <w:t>Physicians’ services in the home</w:t>
            </w: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 xml:space="preserve">Part B covers services a beneficiary receives from a physician (or other provider, such as a registered nurse) who visits their home. Part B also covers some services that are not face-to-face with a doctor, such as check-in phone calls or assessment using an online patient portal. Virtual check-ins can be used to assess whether a beneficiary should go to their doctor’s office for an in-person visit. </w:t>
            </w:r>
          </w:p>
        </w:tc>
      </w:tr>
      <w:tr>
        <w:tblPrEx>
          <w:tblInd w:w="113" w:type="dxa"/>
          <w:tblCellMar>
            <w:top w:w="0" w:type="dxa"/>
            <w:left w:w="0" w:type="dxa"/>
            <w:bottom w:w="0" w:type="dxa"/>
            <w:right w:w="0" w:type="dxa"/>
          </w:tblCellMar>
        </w:tblPrEx>
        <w:trPr>
          <w:trHeight w:val="4859"/>
        </w:trPr>
        <w:tc>
          <w:tcPr>
            <w:tcW w:w="10472" w:type="dxa"/>
            <w:tcBorders>
              <w:top w:val="single" w:sz="4" w:space="0" w:color="000000"/>
              <w:bottom w:val="single" w:sz="4" w:space="0" w:color="000000"/>
            </w:tcBorders>
            <w:noWrap w:val="0"/>
            <w:tcMar>
              <w:top w:w="8" w:type="dxa"/>
              <w:left w:w="113" w:type="dxa"/>
              <w:bottom w:w="8" w:type="dxa"/>
              <w:right w:w="113" w:type="dxa"/>
            </w:tcMar>
            <w:vAlign w:val="center"/>
            <w:hideMark/>
          </w:tcPr>
          <w:p>
            <w:pPr>
              <w:spacing w:before="0" w:after="0" w:line="276" w:lineRule="auto"/>
              <w:rPr>
                <w:b w:val="0"/>
                <w:bCs w:val="0"/>
                <w:i w:val="0"/>
                <w:iCs w:val="0"/>
                <w:smallCaps w:val="0"/>
                <w:color w:val="000000"/>
                <w:sz w:val="28"/>
                <w:szCs w:val="28"/>
              </w:rPr>
            </w:pPr>
            <w:r>
              <w:rPr>
                <w:rFonts w:ascii="Arial" w:eastAsia="Arial" w:hAnsi="Arial" w:cs="Arial"/>
                <w:b/>
                <w:bCs/>
                <w:i w:val="0"/>
                <w:iCs w:val="0"/>
                <w:smallCaps w:val="0"/>
                <w:color w:val="000000"/>
                <w:sz w:val="28"/>
                <w:szCs w:val="28"/>
              </w:rPr>
              <w:t>Telehealth services</w:t>
            </w: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 xml:space="preserve">A telehealth service is a full visit with a provider using telephone or video technology. Medicare generally only covers telehealth in limited situations for certain beneficiaries, but it has expanded coverage and access during the public health emergency. </w:t>
            </w:r>
          </w:p>
          <w:p>
            <w:pPr>
              <w:spacing w:before="0" w:after="0" w:line="276" w:lineRule="auto"/>
              <w:rPr>
                <w:b w:val="0"/>
                <w:bCs w:val="0"/>
                <w:i w:val="0"/>
                <w:iCs w:val="0"/>
                <w:smallCaps w:val="0"/>
                <w:color w:val="000000"/>
              </w:rPr>
            </w:pP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 xml:space="preserve">Starting March 6, 2020, Medicare covers hospital and doctors’ office visits, mental health counseling, preventive health screenings, and other visits via telehealth for all beneficiaries and in settings that include the beneficiary’s home. Health care providers who can offer these telehealth services include doctors, nurse practitioners, clinical psychologists, and licensed clinical social workers. </w:t>
            </w:r>
          </w:p>
          <w:p>
            <w:pPr>
              <w:spacing w:before="0" w:after="0" w:line="276" w:lineRule="auto"/>
              <w:rPr>
                <w:b w:val="0"/>
                <w:bCs w:val="0"/>
                <w:i w:val="0"/>
                <w:iCs w:val="0"/>
                <w:smallCaps w:val="0"/>
                <w:color w:val="000000"/>
              </w:rPr>
            </w:pP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Standard cost-sharing may apply</w:t>
            </w:r>
            <w:r>
              <w:rPr>
                <w:rFonts w:ascii="Arial" w:eastAsia="Arial" w:hAnsi="Arial" w:cs="Arial"/>
                <w:b w:val="0"/>
                <w:bCs w:val="0"/>
                <w:i w:val="0"/>
                <w:iCs w:val="0"/>
                <w:smallCaps w:val="0"/>
                <w:color w:val="000000"/>
              </w:rPr>
              <w:t xml:space="preserve"> </w:t>
            </w:r>
            <w:r>
              <w:rPr>
                <w:rFonts w:ascii="Arial" w:eastAsia="Arial" w:hAnsi="Arial" w:cs="Arial"/>
                <w:b w:val="0"/>
                <w:bCs w:val="0"/>
                <w:i w:val="0"/>
                <w:iCs w:val="0"/>
                <w:smallCaps w:val="0"/>
                <w:color w:val="000000"/>
              </w:rPr>
              <w:t xml:space="preserve">but note that a provider can choose to </w:t>
            </w:r>
            <w:r>
              <w:rPr>
                <w:rFonts w:ascii="Arial" w:eastAsia="Arial" w:hAnsi="Arial" w:cs="Arial"/>
                <w:b w:val="0"/>
                <w:bCs w:val="0"/>
                <w:i w:val="0"/>
                <w:iCs w:val="0"/>
                <w:smallCaps w:val="0"/>
                <w:color w:val="000000"/>
              </w:rPr>
              <w:t>waive cost-sharing charge</w:t>
            </w:r>
            <w:r>
              <w:rPr>
                <w:rFonts w:ascii="Arial" w:eastAsia="Arial" w:hAnsi="Arial" w:cs="Arial"/>
                <w:b w:val="0"/>
                <w:bCs w:val="0"/>
                <w:i w:val="0"/>
                <w:iCs w:val="0"/>
                <w:smallCaps w:val="0"/>
                <w:color w:val="000000"/>
              </w:rPr>
              <w:t>s</w:t>
            </w:r>
            <w:r>
              <w:rPr>
                <w:rFonts w:ascii="Arial" w:eastAsia="Arial" w:hAnsi="Arial" w:cs="Arial"/>
                <w:b w:val="0"/>
                <w:bCs w:val="0"/>
                <w:i w:val="0"/>
                <w:iCs w:val="0"/>
                <w:smallCaps w:val="0"/>
                <w:color w:val="000000"/>
              </w:rPr>
              <w:t>.</w:t>
            </w:r>
            <w:r>
              <w:rPr>
                <w:rFonts w:ascii="Arial" w:eastAsia="Arial" w:hAnsi="Arial" w:cs="Arial"/>
                <w:b w:val="0"/>
                <w:bCs w:val="0"/>
                <w:i w:val="0"/>
                <w:iCs w:val="0"/>
                <w:smallCaps w:val="0"/>
                <w:color w:val="000000"/>
              </w:rPr>
              <w:t xml:space="preserve"> If a beneficiary has a Medicare Advantage Plan, they should contact their plan to learn about its costs and coverage rules.</w:t>
            </w:r>
            <w:r>
              <w:rPr>
                <w:rFonts w:ascii="Arial" w:eastAsia="Arial" w:hAnsi="Arial" w:cs="Arial"/>
                <w:b w:val="0"/>
                <w:bCs w:val="0"/>
                <w:i w:val="0"/>
                <w:iCs w:val="0"/>
                <w:smallCaps w:val="0"/>
                <w:color w:val="000000"/>
              </w:rPr>
              <w:t xml:space="preserve">  </w:t>
            </w:r>
          </w:p>
        </w:tc>
      </w:tr>
      <w:tr>
        <w:tblPrEx>
          <w:tblInd w:w="113" w:type="dxa"/>
          <w:tblCellMar>
            <w:top w:w="0" w:type="dxa"/>
            <w:left w:w="0" w:type="dxa"/>
            <w:bottom w:w="0" w:type="dxa"/>
            <w:right w:w="0" w:type="dxa"/>
          </w:tblCellMar>
        </w:tblPrEx>
        <w:tc>
          <w:tcPr>
            <w:tcW w:w="10472" w:type="dxa"/>
            <w:tcBorders>
              <w:top w:val="single" w:sz="4" w:space="0" w:color="000000"/>
            </w:tcBorders>
            <w:noWrap w:val="0"/>
            <w:tcMar>
              <w:top w:w="8" w:type="dxa"/>
              <w:left w:w="113" w:type="dxa"/>
              <w:bottom w:w="5" w:type="dxa"/>
              <w:right w:w="113" w:type="dxa"/>
            </w:tcMar>
            <w:vAlign w:val="center"/>
            <w:hideMark/>
          </w:tcPr>
          <w:p>
            <w:pPr>
              <w:spacing w:before="0" w:after="0" w:line="276" w:lineRule="auto"/>
              <w:rPr>
                <w:b w:val="0"/>
                <w:bCs w:val="0"/>
                <w:i w:val="0"/>
                <w:iCs w:val="0"/>
                <w:smallCaps w:val="0"/>
                <w:color w:val="000000"/>
                <w:sz w:val="28"/>
                <w:szCs w:val="28"/>
              </w:rPr>
            </w:pPr>
            <w:r>
              <w:rPr>
                <w:rFonts w:ascii="Arial" w:eastAsia="Arial" w:hAnsi="Arial" w:cs="Arial"/>
                <w:b/>
                <w:bCs/>
                <w:i w:val="0"/>
                <w:iCs w:val="0"/>
                <w:smallCaps w:val="0"/>
                <w:color w:val="000000"/>
                <w:sz w:val="28"/>
                <w:szCs w:val="28"/>
              </w:rPr>
              <w:t>Prescription refills</w:t>
            </w: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 xml:space="preserve">If a beneficiary wants to refill their prescriptions early so that they have extra medication on hand, they should contact their Part D drug plan to learn what is covered. Their plan may require extra approval before it covers early refills, and not all prescriptions can be refilled in advance. </w:t>
            </w:r>
          </w:p>
          <w:p>
            <w:pPr>
              <w:spacing w:before="0" w:after="0" w:line="276" w:lineRule="auto"/>
              <w:rPr>
                <w:b w:val="0"/>
                <w:bCs w:val="0"/>
                <w:i w:val="0"/>
                <w:iCs w:val="0"/>
                <w:smallCaps w:val="0"/>
                <w:color w:val="000000"/>
              </w:rPr>
            </w:pPr>
          </w:p>
          <w:p>
            <w:pPr>
              <w:spacing w:before="0" w:after="0" w:line="276" w:lineRule="auto"/>
              <w:rPr>
                <w:b w:val="0"/>
                <w:bCs w:val="0"/>
                <w:i w:val="0"/>
                <w:iCs w:val="0"/>
                <w:smallCaps w:val="0"/>
                <w:color w:val="000000"/>
              </w:rPr>
            </w:pPr>
            <w:r>
              <w:rPr>
                <w:rFonts w:ascii="Arial" w:eastAsia="Arial" w:hAnsi="Arial" w:cs="Arial"/>
                <w:b w:val="0"/>
                <w:bCs w:val="0"/>
                <w:i w:val="0"/>
                <w:iCs w:val="0"/>
                <w:smallCaps w:val="0"/>
                <w:color w:val="000000"/>
              </w:rPr>
              <w:t xml:space="preserve">During the emergency, all Medicare Advantage and Part D plans must cover up to a 90-day supply of a drug when a beneficiary asks for it. </w:t>
            </w:r>
            <w:r>
              <w:rPr>
                <w:rFonts w:ascii="Arial" w:eastAsia="Arial" w:hAnsi="Arial" w:cs="Arial"/>
                <w:b w:val="0"/>
                <w:bCs w:val="0"/>
                <w:i w:val="0"/>
                <w:iCs w:val="0"/>
                <w:smallCaps w:val="0"/>
                <w:color w:val="000000"/>
              </w:rPr>
              <w:t>However, plans cannot provide a 90-day supply of a drug if it has certain restrictions on the amount that can be safely provided. These restrictions are called safety edits</w:t>
            </w:r>
            <w:r>
              <w:rPr>
                <w:rFonts w:ascii="Arial" w:eastAsia="Arial" w:hAnsi="Arial" w:cs="Arial"/>
                <w:b w:val="0"/>
                <w:bCs w:val="0"/>
                <w:i w:val="0"/>
                <w:iCs w:val="0"/>
                <w:smallCaps w:val="0"/>
                <w:color w:val="000000"/>
              </w:rPr>
              <w:t>. They</w:t>
            </w:r>
            <w:r>
              <w:rPr>
                <w:rFonts w:ascii="Arial" w:eastAsia="Arial" w:hAnsi="Arial" w:cs="Arial"/>
                <w:b w:val="0"/>
                <w:bCs w:val="0"/>
                <w:i w:val="0"/>
                <w:iCs w:val="0"/>
                <w:smallCaps w:val="0"/>
                <w:color w:val="000000"/>
              </w:rPr>
              <w:t xml:space="preserve"> commonly apply to opioids</w:t>
            </w:r>
            <w:r>
              <w:rPr>
                <w:rFonts w:ascii="Arial" w:eastAsia="Arial" w:hAnsi="Arial" w:cs="Arial"/>
                <w:b w:val="0"/>
                <w:bCs w:val="0"/>
                <w:i w:val="0"/>
                <w:iCs w:val="0"/>
                <w:smallCaps w:val="0"/>
                <w:color w:val="000000"/>
              </w:rPr>
              <w:t>, for example</w:t>
            </w:r>
            <w:r>
              <w:rPr>
                <w:rFonts w:ascii="Arial" w:eastAsia="Arial" w:hAnsi="Arial" w:cs="Arial"/>
                <w:b w:val="0"/>
                <w:bCs w:val="0"/>
                <w:i w:val="0"/>
                <w:iCs w:val="0"/>
                <w:smallCaps w:val="0"/>
                <w:color w:val="000000"/>
              </w:rPr>
              <w:t>.</w:t>
            </w:r>
          </w:p>
          <w:p>
            <w:pPr>
              <w:spacing w:before="0" w:after="0" w:line="276" w:lineRule="auto"/>
              <w:ind w:left="720"/>
              <w:rPr>
                <w:b w:val="0"/>
                <w:bCs w:val="0"/>
                <w:i w:val="0"/>
                <w:iCs w:val="0"/>
                <w:smallCaps w:val="0"/>
                <w:color w:val="000000"/>
              </w:rPr>
            </w:pPr>
          </w:p>
          <w:p>
            <w:pPr>
              <w:spacing w:before="0" w:after="0" w:line="276" w:lineRule="auto"/>
              <w:rPr>
                <w:b w:val="0"/>
                <w:bCs w:val="0"/>
                <w:i w:val="0"/>
                <w:iCs w:val="0"/>
                <w:smallCaps w:val="0"/>
                <w:color w:val="000000"/>
              </w:rPr>
            </w:pPr>
            <w:r>
              <w:rPr>
                <w:rFonts w:ascii="Arial" w:eastAsia="Arial" w:hAnsi="Arial" w:cs="Arial"/>
                <w:b/>
                <w:bCs/>
                <w:i w:val="0"/>
                <w:iCs w:val="0"/>
                <w:smallCaps w:val="0"/>
                <w:color w:val="000000"/>
              </w:rPr>
              <w:t>Note:</w:t>
            </w:r>
            <w:r>
              <w:rPr>
                <w:rFonts w:ascii="Arial" w:eastAsia="Arial" w:hAnsi="Arial" w:cs="Arial"/>
                <w:b w:val="0"/>
                <w:bCs w:val="0"/>
                <w:i w:val="0"/>
                <w:iCs w:val="0"/>
                <w:smallCaps w:val="0"/>
                <w:color w:val="000000"/>
              </w:rPr>
              <w:t xml:space="preserve"> If a beneficiary takes medications that are covered by Part B, they should ask their doctor for advice. </w:t>
            </w:r>
          </w:p>
        </w:tc>
      </w:tr>
    </w:tbl>
    <w:p>
      <w:pPr>
        <w:spacing w:before="0" w:after="0" w:line="276" w:lineRule="auto"/>
      </w:pPr>
    </w:p>
    <w:p>
      <w:pPr>
        <w:spacing w:before="0" w:after="0" w:line="276" w:lineRule="auto"/>
      </w:pPr>
    </w:p>
    <w:p>
      <w:pPr>
        <w:spacing w:before="0" w:after="0" w:line="276" w:lineRule="auto"/>
      </w:pPr>
    </w:p>
    <w:p>
      <w:pPr>
        <w:spacing w:before="0" w:after="0" w:line="276" w:lineRule="auto"/>
      </w:pPr>
    </w:p>
    <w:p>
      <w:pPr>
        <w:spacing w:before="0" w:after="0" w:line="276" w:lineRule="auto"/>
      </w:pPr>
    </w:p>
    <w:p>
      <w:pPr>
        <w:spacing w:before="0" w:after="0" w:line="276" w:lineRule="auto"/>
      </w:pPr>
    </w:p>
    <w:p>
      <w:pPr>
        <w:spacing w:before="0" w:after="0" w:line="276" w:lineRule="auto"/>
      </w:pPr>
    </w:p>
    <w:p>
      <w:pPr>
        <w:spacing w:before="0" w:after="0" w:line="276" w:lineRule="auto"/>
      </w:pPr>
    </w:p>
    <w:p>
      <w:pPr>
        <w:spacing w:before="0" w:after="0" w:line="276" w:lineRule="auto"/>
        <w:jc w:val="center"/>
        <w:rPr>
          <w:sz w:val="32"/>
          <w:szCs w:val="32"/>
        </w:rPr>
      </w:pPr>
      <w:r>
        <w:rPr>
          <w:rFonts w:ascii="Arial" w:eastAsia="Arial" w:hAnsi="Arial" w:cs="Arial"/>
          <w:b/>
          <w:bCs/>
          <w:sz w:val="32"/>
          <w:szCs w:val="32"/>
        </w:rPr>
        <w:t xml:space="preserve">Helping beneficiaries access care </w:t>
      </w:r>
      <w:r>
        <w:rPr>
          <w:rFonts w:ascii="Arial" w:eastAsia="Arial" w:hAnsi="Arial" w:cs="Arial"/>
          <w:b/>
          <w:bCs/>
          <w:sz w:val="32"/>
          <w:szCs w:val="32"/>
        </w:rPr>
        <w:t xml:space="preserve">during </w:t>
      </w:r>
      <w:r>
        <w:rPr>
          <w:rFonts w:ascii="Arial" w:eastAsia="Arial" w:hAnsi="Arial" w:cs="Arial"/>
          <w:b/>
          <w:bCs/>
          <w:sz w:val="32"/>
          <w:szCs w:val="32"/>
        </w:rPr>
        <w:t xml:space="preserve">a </w:t>
      </w:r>
      <w:r>
        <w:rPr>
          <w:rFonts w:ascii="Arial" w:eastAsia="Arial" w:hAnsi="Arial" w:cs="Arial"/>
          <w:b/>
          <w:bCs/>
          <w:sz w:val="32"/>
          <w:szCs w:val="32"/>
        </w:rPr>
        <w:t>public health emergency</w:t>
      </w:r>
    </w:p>
    <w:p>
      <w:pPr>
        <w:spacing w:before="0" w:after="0" w:line="276" w:lineRule="auto"/>
      </w:pPr>
    </w:p>
    <w:p>
      <w:pPr>
        <w:spacing w:before="0" w:after="160" w:line="276" w:lineRule="auto"/>
      </w:pPr>
      <w:r>
        <w:rPr>
          <w:rFonts w:ascii="Arial" w:eastAsia="Arial" w:hAnsi="Arial" w:cs="Arial"/>
        </w:rPr>
        <w:t>During a public health emergenc</w:t>
      </w:r>
      <w:r>
        <w:rPr>
          <w:rFonts w:ascii="Arial" w:eastAsia="Arial" w:hAnsi="Arial" w:cs="Arial"/>
        </w:rPr>
        <w:t>y</w:t>
      </w:r>
      <w:r>
        <w:rPr>
          <w:rFonts w:ascii="Arial" w:eastAsia="Arial" w:hAnsi="Arial" w:cs="Arial"/>
        </w:rPr>
        <w:t xml:space="preserve">, beneficiaries may have difficulty accessing covered care as they normally would, such as seeing in-network providers or filling their prescriptions every month. </w:t>
      </w:r>
    </w:p>
    <w:p>
      <w:pPr>
        <w:spacing w:before="0" w:after="240" w:line="276" w:lineRule="auto"/>
      </w:pPr>
      <w:r>
        <w:rPr>
          <w:rFonts w:ascii="Arial" w:eastAsia="Arial" w:hAnsi="Arial" w:cs="Arial"/>
        </w:rPr>
        <w:t>To help beneficiaries access covered care, plans must meet certain requirements after the declaration of a public health emergency</w:t>
      </w:r>
      <w:r>
        <w:rPr>
          <w:rFonts w:ascii="Arial" w:eastAsia="Arial" w:hAnsi="Arial" w:cs="Arial"/>
        </w:rPr>
        <w:t>, disaster, or emergency</w:t>
      </w:r>
      <w:r>
        <w:rPr>
          <w:rFonts w:ascii="Arial" w:eastAsia="Arial" w:hAnsi="Arial" w:cs="Arial"/>
        </w:rPr>
        <w:t xml:space="preserve">. </w:t>
      </w:r>
      <w:r>
        <w:rPr>
          <w:rFonts w:ascii="Arial" w:eastAsia="Arial" w:hAnsi="Arial" w:cs="Arial"/>
        </w:rPr>
        <w:t>Medicare Advantage</w:t>
      </w:r>
      <w:r>
        <w:rPr>
          <w:rFonts w:ascii="Arial" w:eastAsia="Arial" w:hAnsi="Arial" w:cs="Arial"/>
        </w:rPr>
        <w:t> </w:t>
      </w:r>
      <w:r>
        <w:rPr>
          <w:rFonts w:ascii="Arial" w:eastAsia="Arial" w:hAnsi="Arial" w:cs="Arial"/>
        </w:rPr>
        <w:t xml:space="preserve">and Part D plans must work to maintain access to health care services and prescription drugs for plan members living in affected areas. </w:t>
      </w:r>
    </w:p>
    <w:p>
      <w:pPr>
        <w:spacing w:before="0" w:after="0" w:line="276" w:lineRule="auto"/>
        <w:rPr>
          <w:sz w:val="28"/>
          <w:szCs w:val="28"/>
        </w:rPr>
      </w:pPr>
      <w:r>
        <w:rPr>
          <w:rFonts w:ascii="Arial" w:eastAsia="Arial" w:hAnsi="Arial" w:cs="Arial"/>
          <w:b/>
          <w:bCs/>
          <w:sz w:val="28"/>
          <w:szCs w:val="28"/>
        </w:rPr>
        <w:t>Medicare Advantage Plans must:</w:t>
      </w:r>
      <w:r>
        <w:rPr>
          <w:rFonts w:ascii="Arial" w:eastAsia="Arial" w:hAnsi="Arial" w:cs="Arial"/>
          <w:sz w:val="28"/>
          <w:szCs w:val="28"/>
        </w:rPr>
        <w:t> </w:t>
      </w:r>
    </w:p>
    <w:p>
      <w:pPr>
        <w:numPr>
          <w:ilvl w:val="0"/>
          <w:numId w:val="3"/>
        </w:numPr>
        <w:pBdr>
          <w:left w:val="none" w:sz="0" w:space="7" w:color="auto"/>
        </w:pBdr>
        <w:spacing w:before="0" w:line="276" w:lineRule="auto"/>
        <w:ind w:left="720" w:right="0" w:hanging="436"/>
        <w:jc w:val="left"/>
        <w:rPr>
          <w:rFonts w:ascii="Times New Roman" w:eastAsia="Times New Roman" w:hAnsi="Times New Roman" w:cs="Times New Roman"/>
        </w:rPr>
      </w:pPr>
      <w:r>
        <w:rPr>
          <w:rFonts w:ascii="Arial" w:eastAsia="Arial" w:hAnsi="Arial" w:cs="Arial"/>
        </w:rPr>
        <w:t>Allow beneficiaries to receive health care services at out-of-network doctor’s offices, hospitals, and other facilities</w:t>
      </w:r>
      <w:r>
        <w:rPr>
          <w:rFonts w:ascii="Arial" w:eastAsia="Arial" w:hAnsi="Arial" w:cs="Arial"/>
        </w:rPr>
        <w:t> </w:t>
      </w:r>
    </w:p>
    <w:p>
      <w:pPr>
        <w:numPr>
          <w:ilvl w:val="0"/>
          <w:numId w:val="3"/>
        </w:numPr>
        <w:pBdr>
          <w:left w:val="none" w:sz="0" w:space="7" w:color="auto"/>
        </w:pBdr>
        <w:spacing w:line="276" w:lineRule="auto"/>
        <w:ind w:left="720" w:right="0" w:hanging="436"/>
        <w:jc w:val="left"/>
        <w:rPr>
          <w:rFonts w:ascii="Times New Roman" w:eastAsia="Times New Roman" w:hAnsi="Times New Roman" w:cs="Times New Roman"/>
        </w:rPr>
      </w:pPr>
      <w:r>
        <w:rPr>
          <w:rFonts w:ascii="Arial" w:eastAsia="Arial" w:hAnsi="Arial" w:cs="Arial"/>
        </w:rPr>
        <w:t>Charge in-network cost-sharing amounts for services received out-of-network</w:t>
      </w:r>
      <w:r>
        <w:rPr>
          <w:rFonts w:ascii="Arial" w:eastAsia="Arial" w:hAnsi="Arial" w:cs="Arial"/>
        </w:rPr>
        <w:t> </w:t>
      </w:r>
    </w:p>
    <w:p>
      <w:pPr>
        <w:numPr>
          <w:ilvl w:val="0"/>
          <w:numId w:val="3"/>
        </w:numPr>
        <w:pBdr>
          <w:left w:val="none" w:sz="0" w:space="7" w:color="auto"/>
        </w:pBdr>
        <w:spacing w:line="276" w:lineRule="auto"/>
        <w:ind w:left="720" w:right="0" w:hanging="436"/>
        <w:jc w:val="left"/>
        <w:rPr>
          <w:rFonts w:ascii="Times New Roman" w:eastAsia="Times New Roman" w:hAnsi="Times New Roman" w:cs="Times New Roman"/>
        </w:rPr>
      </w:pPr>
      <w:r>
        <w:rPr>
          <w:rFonts w:ascii="Arial" w:eastAsia="Arial" w:hAnsi="Arial" w:cs="Arial"/>
        </w:rPr>
        <w:t>Waive referral requirements</w:t>
      </w:r>
      <w:r>
        <w:rPr>
          <w:rFonts w:ascii="Arial" w:eastAsia="Arial" w:hAnsi="Arial" w:cs="Arial"/>
        </w:rPr>
        <w:t> </w:t>
      </w:r>
    </w:p>
    <w:p>
      <w:pPr>
        <w:numPr>
          <w:ilvl w:val="0"/>
          <w:numId w:val="3"/>
        </w:numPr>
        <w:pBdr>
          <w:left w:val="none" w:sz="0" w:space="7" w:color="auto"/>
        </w:pBdr>
        <w:spacing w:after="240" w:line="276" w:lineRule="auto"/>
        <w:ind w:left="720" w:right="0" w:hanging="436"/>
        <w:jc w:val="left"/>
        <w:rPr>
          <w:rFonts w:ascii="Times New Roman" w:eastAsia="Times New Roman" w:hAnsi="Times New Roman" w:cs="Times New Roman"/>
        </w:rPr>
      </w:pPr>
      <w:r>
        <w:rPr>
          <w:rFonts w:ascii="Arial" w:eastAsia="Arial" w:hAnsi="Arial" w:cs="Arial"/>
        </w:rPr>
        <w:t>Suspend rules requiring the beneficiary tell the plan before getting certain kinds of care or prescription drugs, if failing to contact the plan ahead of time could raise costs or limit access to care</w:t>
      </w:r>
      <w:r>
        <w:rPr>
          <w:rFonts w:ascii="Arial" w:eastAsia="Arial" w:hAnsi="Arial" w:cs="Arial"/>
        </w:rPr>
        <w:t> </w:t>
      </w:r>
    </w:p>
    <w:p>
      <w:pPr>
        <w:spacing w:before="0" w:after="0" w:line="276" w:lineRule="auto"/>
        <w:rPr>
          <w:sz w:val="28"/>
          <w:szCs w:val="28"/>
        </w:rPr>
      </w:pPr>
      <w:r>
        <w:rPr>
          <w:rFonts w:ascii="Arial" w:eastAsia="Arial" w:hAnsi="Arial" w:cs="Arial"/>
          <w:b/>
          <w:bCs/>
          <w:sz w:val="28"/>
          <w:szCs w:val="28"/>
        </w:rPr>
        <w:t>Part</w:t>
      </w:r>
      <w:r>
        <w:rPr>
          <w:rFonts w:ascii="Arial" w:eastAsia="Arial" w:hAnsi="Arial" w:cs="Arial"/>
          <w:b/>
          <w:bCs/>
          <w:sz w:val="28"/>
          <w:szCs w:val="28"/>
        </w:rPr>
        <w:t> </w:t>
      </w:r>
      <w:r>
        <w:rPr>
          <w:rFonts w:ascii="Arial" w:eastAsia="Arial" w:hAnsi="Arial" w:cs="Arial"/>
          <w:b/>
          <w:bCs/>
          <w:sz w:val="28"/>
          <w:szCs w:val="28"/>
        </w:rPr>
        <w:t>D plans must:</w:t>
      </w:r>
      <w:r>
        <w:rPr>
          <w:rFonts w:ascii="Arial" w:eastAsia="Arial" w:hAnsi="Arial" w:cs="Arial"/>
          <w:sz w:val="28"/>
          <w:szCs w:val="28"/>
        </w:rPr>
        <w:t> </w:t>
      </w:r>
    </w:p>
    <w:p>
      <w:pPr>
        <w:numPr>
          <w:ilvl w:val="0"/>
          <w:numId w:val="4"/>
        </w:numPr>
        <w:pBdr>
          <w:left w:val="none" w:sz="0" w:space="7" w:color="auto"/>
        </w:pBdr>
        <w:spacing w:before="0" w:line="276" w:lineRule="auto"/>
        <w:ind w:left="720" w:right="0" w:hanging="436"/>
        <w:jc w:val="left"/>
        <w:rPr>
          <w:rFonts w:ascii="Times New Roman" w:eastAsia="Times New Roman" w:hAnsi="Times New Roman" w:cs="Times New Roman"/>
        </w:rPr>
      </w:pPr>
      <w:r>
        <w:rPr>
          <w:rFonts w:ascii="Arial" w:eastAsia="Arial" w:hAnsi="Arial" w:cs="Arial"/>
        </w:rPr>
        <w:t>Cover formulary Part D drugs filled at out-of</w:t>
      </w:r>
      <w:r>
        <w:rPr>
          <w:rFonts w:ascii="Arial" w:eastAsia="Arial" w:hAnsi="Arial" w:cs="Arial"/>
        </w:rPr>
        <w:t>-</w:t>
      </w:r>
      <w:r>
        <w:rPr>
          <w:rFonts w:ascii="Arial" w:eastAsia="Arial" w:hAnsi="Arial" w:cs="Arial"/>
        </w:rPr>
        <w:t>network pharmacies</w:t>
      </w:r>
      <w:r>
        <w:rPr>
          <w:rFonts w:ascii="Arial" w:eastAsia="Arial" w:hAnsi="Arial" w:cs="Arial"/>
        </w:rPr>
        <w:t> </w:t>
      </w:r>
    </w:p>
    <w:p>
      <w:pPr>
        <w:numPr>
          <w:ilvl w:val="1"/>
          <w:numId w:val="4"/>
        </w:numPr>
        <w:pBdr>
          <w:left w:val="none" w:sz="0" w:space="5" w:color="auto"/>
        </w:pBdr>
        <w:spacing w:line="276" w:lineRule="auto"/>
        <w:ind w:left="1440" w:right="0" w:hanging="360"/>
        <w:jc w:val="left"/>
        <w:rPr>
          <w:rFonts w:ascii="Times New Roman" w:eastAsia="Times New Roman" w:hAnsi="Times New Roman" w:cs="Times New Roman"/>
        </w:rPr>
      </w:pPr>
      <w:r>
        <w:rPr>
          <w:rFonts w:ascii="Arial" w:eastAsia="Arial" w:hAnsi="Arial" w:cs="Arial"/>
        </w:rPr>
        <w:t>Part D plans must do this when you cannot be expected to get covered Part D drugs at an in-network pharmacy</w:t>
      </w:r>
      <w:r>
        <w:rPr>
          <w:rFonts w:ascii="Arial" w:eastAsia="Arial" w:hAnsi="Arial" w:cs="Arial"/>
        </w:rPr>
        <w:t> </w:t>
      </w:r>
    </w:p>
    <w:p>
      <w:pPr>
        <w:numPr>
          <w:ilvl w:val="0"/>
          <w:numId w:val="4"/>
        </w:numPr>
        <w:pBdr>
          <w:left w:val="none" w:sz="0" w:space="7" w:color="auto"/>
        </w:pBdr>
        <w:spacing w:after="240" w:line="276" w:lineRule="auto"/>
        <w:ind w:left="720" w:right="0" w:hanging="436"/>
        <w:jc w:val="left"/>
        <w:rPr>
          <w:rFonts w:ascii="Times New Roman" w:eastAsia="Times New Roman" w:hAnsi="Times New Roman" w:cs="Times New Roman"/>
        </w:rPr>
      </w:pPr>
      <w:r>
        <w:rPr>
          <w:rFonts w:ascii="Arial" w:eastAsia="Arial" w:hAnsi="Arial" w:cs="Arial"/>
        </w:rPr>
        <w:t>Cover the maximum supply of a beneficiary’s refill</w:t>
      </w:r>
      <w:r>
        <w:rPr>
          <w:rFonts w:ascii="Arial" w:eastAsia="Arial" w:hAnsi="Arial" w:cs="Arial"/>
        </w:rPr>
        <w:t xml:space="preserve"> at their </w:t>
      </w:r>
      <w:r>
        <w:rPr>
          <w:rFonts w:ascii="Arial" w:eastAsia="Arial" w:hAnsi="Arial" w:cs="Arial"/>
        </w:rPr>
        <w:t>request</w:t>
      </w:r>
    </w:p>
    <w:p>
      <w:pPr>
        <w:spacing w:before="0" w:after="0" w:line="276" w:lineRule="auto"/>
      </w:pPr>
      <w:r>
        <w:rPr>
          <w:rFonts w:ascii="Arial" w:eastAsia="Arial" w:hAnsi="Arial" w:cs="Arial"/>
        </w:rPr>
        <w:t>Medicare has also given plans the flexibility to make</w:t>
      </w:r>
      <w:r>
        <w:rPr>
          <w:rFonts w:ascii="Arial" w:eastAsia="Arial" w:hAnsi="Arial" w:cs="Arial"/>
        </w:rPr>
        <w:t> </w:t>
      </w:r>
      <w:r>
        <w:rPr>
          <w:rFonts w:ascii="Arial" w:eastAsia="Arial" w:hAnsi="Arial" w:cs="Arial"/>
          <w:b/>
          <w:bCs/>
        </w:rPr>
        <w:t>optional changes</w:t>
      </w:r>
      <w:r>
        <w:rPr>
          <w:rFonts w:ascii="Arial" w:eastAsia="Arial" w:hAnsi="Arial" w:cs="Arial"/>
        </w:rPr>
        <w:t> </w:t>
      </w:r>
      <w:r>
        <w:rPr>
          <w:rFonts w:ascii="Arial" w:eastAsia="Arial" w:hAnsi="Arial" w:cs="Arial"/>
        </w:rPr>
        <w:t>to their cost-sharing and coverage. These optional changes include:</w:t>
      </w:r>
      <w:r>
        <w:rPr>
          <w:rFonts w:ascii="Arial" w:eastAsia="Arial" w:hAnsi="Arial" w:cs="Arial"/>
        </w:rPr>
        <w:t> </w:t>
      </w:r>
      <w:r>
        <w:rPr>
          <w:rFonts w:ascii="Arial" w:eastAsia="Arial" w:hAnsi="Arial" w:cs="Arial"/>
        </w:rPr>
        <w:t> </w:t>
      </w:r>
      <w:r>
        <w:rPr>
          <w:rFonts w:ascii="Arial" w:eastAsia="Arial" w:hAnsi="Arial" w:cs="Arial"/>
        </w:rPr>
        <w:t> </w:t>
      </w:r>
    </w:p>
    <w:p>
      <w:pPr>
        <w:numPr>
          <w:ilvl w:val="0"/>
          <w:numId w:val="5"/>
        </w:numPr>
        <w:pBdr>
          <w:left w:val="none" w:sz="0" w:space="7" w:color="auto"/>
        </w:pBdr>
        <w:spacing w:before="0" w:line="276" w:lineRule="auto"/>
        <w:ind w:left="720" w:right="0" w:hanging="436"/>
        <w:jc w:val="left"/>
        <w:rPr>
          <w:rFonts w:ascii="Times New Roman" w:eastAsia="Times New Roman" w:hAnsi="Times New Roman" w:cs="Times New Roman"/>
        </w:rPr>
      </w:pPr>
      <w:r>
        <w:rPr>
          <w:rFonts w:ascii="Arial" w:eastAsia="Arial" w:hAnsi="Arial" w:cs="Arial"/>
        </w:rPr>
        <w:t>Relaxing policies to permit mail and home delivery of prescriptions, when disaster or emergency makes it difficult for the beneficiary to</w:t>
      </w:r>
      <w:r>
        <w:rPr>
          <w:rFonts w:ascii="Arial" w:eastAsia="Arial" w:hAnsi="Arial" w:cs="Arial"/>
        </w:rPr>
        <w:t> </w:t>
      </w:r>
      <w:r>
        <w:rPr>
          <w:rFonts w:ascii="Arial" w:eastAsia="Arial" w:hAnsi="Arial" w:cs="Arial"/>
        </w:rPr>
        <w:t>go to a retail pharmacy</w:t>
      </w:r>
      <w:r>
        <w:rPr>
          <w:rFonts w:ascii="Arial" w:eastAsia="Arial" w:hAnsi="Arial" w:cs="Arial"/>
        </w:rPr>
        <w:t> </w:t>
      </w:r>
    </w:p>
    <w:p>
      <w:pPr>
        <w:numPr>
          <w:ilvl w:val="0"/>
          <w:numId w:val="5"/>
        </w:numPr>
        <w:pBdr>
          <w:left w:val="none" w:sz="0" w:space="7" w:color="auto"/>
        </w:pBdr>
        <w:spacing w:line="276" w:lineRule="auto"/>
        <w:ind w:left="720" w:right="0" w:hanging="436"/>
        <w:jc w:val="left"/>
        <w:rPr>
          <w:rFonts w:ascii="Times New Roman" w:eastAsia="Times New Roman" w:hAnsi="Times New Roman" w:cs="Times New Roman"/>
        </w:rPr>
      </w:pPr>
      <w:r>
        <w:rPr>
          <w:rFonts w:ascii="Arial" w:eastAsia="Arial" w:hAnsi="Arial" w:cs="Arial"/>
        </w:rPr>
        <w:t>Waiving prior authorization requirements</w:t>
      </w:r>
      <w:r>
        <w:rPr>
          <w:rFonts w:ascii="Arial" w:eastAsia="Arial" w:hAnsi="Arial" w:cs="Arial"/>
        </w:rPr>
        <w:t> </w:t>
      </w:r>
      <w:r>
        <w:rPr>
          <w:rFonts w:ascii="Arial" w:eastAsia="Arial" w:hAnsi="Arial" w:cs="Arial"/>
        </w:rPr>
        <w:t>that would otherwise apply to Part D drugs used to treat or prevent coronavirus, if or when such drugs are identified</w:t>
      </w:r>
      <w:r>
        <w:rPr>
          <w:rFonts w:ascii="Arial" w:eastAsia="Arial" w:hAnsi="Arial" w:cs="Arial"/>
        </w:rPr>
        <w:t> </w:t>
      </w:r>
    </w:p>
    <w:p>
      <w:pPr>
        <w:numPr>
          <w:ilvl w:val="0"/>
          <w:numId w:val="5"/>
        </w:numPr>
        <w:pBdr>
          <w:left w:val="none" w:sz="0" w:space="7" w:color="auto"/>
        </w:pBdr>
        <w:spacing w:after="0" w:line="276" w:lineRule="auto"/>
        <w:ind w:left="720" w:right="0" w:hanging="436"/>
        <w:jc w:val="left"/>
        <w:rPr>
          <w:rFonts w:ascii="Times New Roman" w:eastAsia="Times New Roman" w:hAnsi="Times New Roman" w:cs="Times New Roman"/>
        </w:rPr>
      </w:pPr>
      <w:r>
        <w:rPr>
          <w:rFonts w:ascii="Arial" w:eastAsia="Arial" w:hAnsi="Arial" w:cs="Arial"/>
        </w:rPr>
        <w:t>Removing prescription refill limits</w:t>
      </w:r>
      <w:r>
        <w:rPr>
          <w:rFonts w:ascii="Arial" w:eastAsia="Arial" w:hAnsi="Arial" w:cs="Arial"/>
        </w:rPr>
        <w:t> </w:t>
      </w:r>
    </w:p>
    <w:p>
      <w:pPr>
        <w:spacing w:before="0" w:after="0" w:line="276" w:lineRule="auto"/>
      </w:pPr>
    </w:p>
    <w:p>
      <w:pPr>
        <w:spacing w:before="0" w:after="120" w:line="276" w:lineRule="auto"/>
      </w:pPr>
      <w:r>
        <w:rPr>
          <w:rFonts w:ascii="Arial" w:eastAsia="Arial" w:hAnsi="Arial" w:cs="Arial"/>
        </w:rPr>
        <w:t>If</w:t>
      </w:r>
      <w:r>
        <w:rPr>
          <w:rFonts w:ascii="Arial" w:eastAsia="Arial" w:hAnsi="Arial" w:cs="Arial"/>
        </w:rPr>
        <w:t xml:space="preserve"> a beneficiary is having trouble getting care through their Medicare Advantage or Part D plan, you can help them file a grievance with the plan and a complaint with 1-800-MEDICARE (633-4227). </w:t>
      </w:r>
    </w:p>
    <w:p>
      <w:pPr>
        <w:spacing w:before="0" w:after="0" w:line="276" w:lineRule="auto"/>
      </w:pPr>
      <w:r>
        <w:rPr>
          <w:rFonts w:ascii="Arial" w:eastAsia="Arial" w:hAnsi="Arial" w:cs="Arial"/>
        </w:rPr>
        <w:t xml:space="preserve">If a beneficiary thinks they are being discharged from the hospital or SNF too soon, you can help them appeal to their Beneficiary and Family Centered Care-Quality Improvement Organization (BFCC-QIO). </w:t>
      </w:r>
      <w:r>
        <w:rPr>
          <w:rFonts w:ascii="Arial" w:eastAsia="Arial" w:hAnsi="Arial" w:cs="Arial"/>
        </w:rPr>
        <w:t>Depending on where the beneficiary lives, their BFCC-QIO is either</w:t>
      </w:r>
      <w:r>
        <w:rPr>
          <w:rFonts w:ascii="Arial" w:eastAsia="Arial" w:hAnsi="Arial" w:cs="Arial"/>
        </w:rPr>
        <w:t>:</w:t>
      </w:r>
    </w:p>
    <w:p>
      <w:pPr>
        <w:numPr>
          <w:ilvl w:val="0"/>
          <w:numId w:val="6"/>
        </w:numPr>
        <w:pBdr>
          <w:left w:val="none" w:sz="0" w:space="7" w:color="auto"/>
        </w:pBdr>
        <w:spacing w:before="0" w:line="276" w:lineRule="auto"/>
        <w:ind w:left="720" w:right="0" w:hanging="436"/>
        <w:jc w:val="left"/>
        <w:rPr>
          <w:rFonts w:ascii="Times New Roman" w:eastAsia="Times New Roman" w:hAnsi="Times New Roman" w:cs="Times New Roman"/>
        </w:rPr>
      </w:pPr>
      <w:hyperlink r:id="rId5" w:history="1">
        <w:r>
          <w:rPr>
            <w:rFonts w:ascii="Arial" w:eastAsia="Arial" w:hAnsi="Arial" w:cs="Arial"/>
            <w:color w:val="4472C4"/>
            <w:u w:val="single" w:color="4472C4"/>
          </w:rPr>
          <w:t>KEPRO</w:t>
        </w:r>
      </w:hyperlink>
      <w:r>
        <w:rPr>
          <w:rFonts w:ascii="Arial" w:eastAsia="Arial" w:hAnsi="Arial" w:cs="Arial"/>
          <w:color w:val="4472C4"/>
          <w:u w:val="single" w:color="4472C4"/>
        </w:rPr>
        <w:t xml:space="preserve"> (</w:t>
      </w:r>
      <w:hyperlink r:id="rId5" w:history="1">
        <w:r>
          <w:rPr>
            <w:rFonts w:ascii="Arial" w:eastAsia="Arial" w:hAnsi="Arial" w:cs="Arial"/>
            <w:color w:val="4472C4"/>
            <w:u w:val="single" w:color="4472C4"/>
          </w:rPr>
          <w:t>https://www.keproqio.com/aboutus/contacts</w:t>
        </w:r>
      </w:hyperlink>
      <w:r>
        <w:rPr>
          <w:rFonts w:ascii="Arial" w:eastAsia="Arial" w:hAnsi="Arial" w:cs="Arial"/>
          <w:color w:val="4472C4"/>
        </w:rPr>
        <w:t>)</w:t>
      </w:r>
      <w:r>
        <w:rPr>
          <w:rFonts w:ascii="Arial" w:eastAsia="Arial" w:hAnsi="Arial" w:cs="Arial"/>
        </w:rPr>
        <w:t xml:space="preserve"> </w:t>
      </w:r>
      <w:r>
        <w:rPr>
          <w:rFonts w:ascii="Arial" w:eastAsia="Arial" w:hAnsi="Arial" w:cs="Arial"/>
        </w:rPr>
        <w:t xml:space="preserve">or </w:t>
      </w:r>
    </w:p>
    <w:p>
      <w:pPr>
        <w:numPr>
          <w:ilvl w:val="0"/>
          <w:numId w:val="6"/>
        </w:numPr>
        <w:pBdr>
          <w:left w:val="none" w:sz="0" w:space="7" w:color="auto"/>
        </w:pBdr>
        <w:spacing w:after="160" w:line="276" w:lineRule="auto"/>
        <w:ind w:left="720" w:right="0" w:hanging="436"/>
        <w:jc w:val="left"/>
        <w:rPr>
          <w:rFonts w:ascii="Times New Roman" w:eastAsia="Times New Roman" w:hAnsi="Times New Roman" w:cs="Times New Roman"/>
        </w:rPr>
      </w:pPr>
      <w:hyperlink r:id="rId6" w:history="1">
        <w:r>
          <w:rPr>
            <w:rFonts w:ascii="Arial" w:eastAsia="Arial" w:hAnsi="Arial" w:cs="Arial"/>
            <w:color w:val="4472C4"/>
            <w:u w:val="single" w:color="4472C4"/>
          </w:rPr>
          <w:t>Livanta</w:t>
        </w:r>
      </w:hyperlink>
      <w:r>
        <w:rPr>
          <w:rFonts w:ascii="Arial" w:eastAsia="Arial" w:hAnsi="Arial" w:cs="Arial"/>
          <w:color w:val="4472C4"/>
          <w:u w:val="single" w:color="4472C4"/>
        </w:rPr>
        <w:t xml:space="preserve"> (</w:t>
      </w:r>
      <w:hyperlink r:id="rId7" w:history="1">
        <w:r>
          <w:rPr>
            <w:rFonts w:ascii="Arial" w:eastAsia="Arial" w:hAnsi="Arial" w:cs="Arial"/>
            <w:color w:val="4472C4"/>
            <w:u w:val="single" w:color="4472C4"/>
          </w:rPr>
          <w:t>https://www.livantaqio.com/en</w:t>
        </w:r>
      </w:hyperlink>
      <w:r>
        <w:rPr>
          <w:rFonts w:ascii="Arial" w:eastAsia="Arial" w:hAnsi="Arial" w:cs="Arial"/>
          <w:color w:val="4472C4"/>
          <w:u w:val="single" w:color="4472C4"/>
        </w:rPr>
        <w:t>)</w:t>
      </w:r>
    </w:p>
    <w:sectPr>
      <w:headerReference w:type="default" r:id="rId8"/>
      <w:footerReference w:type="default" r:id="rId9"/>
      <w:type w:val="nextPage"/>
      <w:pgSz w:w="12240" w:h="15840"/>
      <w:pgMar w:top="414" w:right="720" w:bottom="720" w:left="72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rPr>
        <w:sz w:val="20"/>
        <w:szCs w:val="20"/>
      </w:rPr>
      <w:t>SHIP National Technical Assistance Center: 877-839-2675 |</w:t>
    </w:r>
    <w:r>
      <w:rPr>
        <w:sz w:val="20"/>
        <w:szCs w:val="20"/>
      </w:rPr>
      <w:t> </w:t>
    </w:r>
    <w:hyperlink r:id="rId1" w:tgtFrame="_blank" w:history="1">
      <w:r>
        <w:rPr>
          <w:color w:val="0563C1"/>
          <w:sz w:val="20"/>
          <w:szCs w:val="20"/>
          <w:u w:val="single" w:color="0563C1"/>
        </w:rPr>
        <w:t>www.shiptacenter.org</w:t>
      </w:r>
    </w:hyperlink>
    <w:r>
      <w:rPr>
        <w:sz w:val="20"/>
        <w:szCs w:val="20"/>
      </w:rPr>
      <w:t> </w:t>
    </w:r>
    <w:r>
      <w:rPr>
        <w:sz w:val="20"/>
        <w:szCs w:val="20"/>
      </w:rPr>
      <w:t>|</w:t>
    </w:r>
    <w:r>
      <w:rPr>
        <w:sz w:val="20"/>
        <w:szCs w:val="20"/>
      </w:rPr>
      <w:t> </w:t>
    </w:r>
    <w:hyperlink r:id="rId2" w:tgtFrame="_blank" w:history="1">
      <w:r>
        <w:rPr>
          <w:color w:val="0563C1"/>
          <w:sz w:val="20"/>
          <w:szCs w:val="20"/>
          <w:u w:val="single" w:color="0563C1"/>
        </w:rPr>
        <w:t>info@shiptacenter.org</w:t>
      </w:r>
    </w:hyperlink>
  </w:p>
  <w:p>
    <w:pPr>
      <w:spacing w:before="0" w:after="0"/>
      <w:ind w:left="540" w:right="810"/>
      <w:jc w:val="center"/>
      <w:rPr>
        <w:sz w:val="17"/>
        <w:szCs w:val="17"/>
      </w:rPr>
    </w:pPr>
    <w:r>
      <w:rPr>
        <w:i/>
        <w:iCs/>
        <w:sz w:val="17"/>
        <w:szCs w:val="17"/>
      </w:rPr>
      <w:t xml:space="preserve">This </w:t>
    </w:r>
    <w:r>
      <w:rPr>
        <w:i/>
        <w:iCs/>
        <w:sz w:val="17"/>
        <w:szCs w:val="17"/>
      </w:rPr>
      <w:t>doc</w:t>
    </w:r>
    <w:r>
      <w:rPr>
        <w:i/>
        <w:iCs/>
        <w:sz w:val="17"/>
        <w:szCs w:val="17"/>
      </w:rPr>
      <w:t xml:space="preserve">ument </w:t>
    </w:r>
    <w:r>
      <w:rPr>
        <w:i/>
        <w:iCs/>
        <w:sz w:val="17"/>
        <w:szCs w:val="17"/>
      </w:rPr>
      <w:t>was supported, in part, by grant number 90SATC0002 from the U.S. Administration for Community Living, Department of Health and Human Services, Washington, D.C. 20201. Grantees undertaking projects under government sponsorship are encouraged to express freely their findings and conclusions. Points of</w:t>
    </w:r>
    <w:r>
      <w:rPr>
        <w:i/>
        <w:iCs/>
        <w:sz w:val="17"/>
        <w:szCs w:val="17"/>
      </w:rPr>
      <w:t xml:space="preserve"> </w:t>
    </w:r>
    <w:r>
      <w:rPr>
        <w:i/>
        <w:iCs/>
        <w:sz w:val="17"/>
        <w:szCs w:val="17"/>
      </w:rPr>
      <w:t>view or opinions do not, therefore, necessarily represent official Administration for Community Living policy.</w:t>
    </w:r>
    <w:r>
      <w:rPr>
        <w:i/>
        <w:iCs/>
        <w:sz w:val="17"/>
        <w:szCs w:val="17"/>
      </w:rPr>
      <w:t xml:space="preserve"> </w:t>
    </w:r>
    <w:r>
      <w:rPr>
        <w:i/>
        <w:iCs/>
        <w:sz w:val="16"/>
        <w:szCs w:val="16"/>
      </w:rPr>
      <w:t xml:space="preserve"> </w:t>
    </w:r>
    <w:r>
      <w:rPr>
        <w:i/>
        <w:iCs/>
        <w:sz w:val="16"/>
        <w:szCs w:val="16"/>
      </w:rPr>
      <w:t>[</w:t>
    </w:r>
    <w:r>
      <w:rPr>
        <w:i/>
        <w:iCs/>
        <w:sz w:val="16"/>
        <w:szCs w:val="16"/>
      </w:rPr>
      <w:t>January 2021</w:t>
    </w:r>
    <w:r>
      <w:rPr>
        <w:i/>
        <w:iCs/>
        <w:sz w:val="16"/>
        <w:szCs w:val="16"/>
      </w:rPr>
      <w:t>]</w:t>
    </w:r>
  </w:p>
  <w:sdt>
    <w:sdtPr>
      <w:id w:val="8983697"/>
      <w:placeholder>
        <w:docPart w:val="DefaultPlaceholder_22675703"/>
      </w:placeholder>
      <w:richText/>
    </w:sdtPr>
    <w:sdtContent>
      <w:p>
        <w:pPr>
          <w:spacing w:before="0" w:after="0"/>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6</w:t>
        </w:r>
        <w:r>
          <w:rPr>
            <w:sz w:val="16"/>
            <w:szCs w:val="16"/>
          </w:rPr>
          <w:fldChar w:fldCharType="end"/>
        </w:r>
      </w:p>
      <w:p>
        <w:pPr>
          <w:spacing w:before="0" w:after="0"/>
          <w:jc w:val="center"/>
          <w:rPr>
            <w:sz w:val="16"/>
            <w:szCs w:val="16"/>
          </w:rPr>
        </w:pPr>
      </w:p>
    </w:sdtContent>
  </w:sdt>
  <w:p>
    <w:pPr>
      <w:rPr>
        <w:sz w:val="24"/>
        <w:szCs w:val="24"/>
      </w:rPr>
    </w:pPr>
    <w:r>
      <w:rPr>
        <w:sz w:val="1"/>
        <w:szCs w:val="1"/>
      </w:rPr>
      <w:br w:type="textWrapping" w:clear="all"/>
    </w:r>
  </w:p>
  <w:p>
    <w:pPr>
      <w:spacing w:before="0" w:after="0"/>
      <w:rPr>
        <w:sz w:val="16"/>
        <w:szCs w:val="16"/>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o"/>
      <w:lvlJc w:val="left"/>
      <w:pPr>
        <w:ind w:left="720" w:hanging="360"/>
      </w:pPr>
      <w:rPr>
        <w:rFonts w:ascii="Courier New" w:hAnsi="Courier New"/>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keproqio.com/aboutus/contacts" TargetMode="External" /><Relationship Id="rId6" Type="http://schemas.openxmlformats.org/officeDocument/2006/relationships/hyperlink" Target="file:///C:\Users\gpaulson\Documents\Ginny\Center%20-%20SHIP\COVID-19\Medicare%20Rights%20Center\Fact%20Sheets\Sent%20to%20ACL\Livanta" TargetMode="External" /><Relationship Id="rId7" Type="http://schemas.openxmlformats.org/officeDocument/2006/relationships/hyperlink" Target="https://www.livantaqio.com/en" TargetMode="External" /><Relationship Id="rId8" Type="http://schemas.openxmlformats.org/officeDocument/2006/relationships/header" Target="header1.xml" /><Relationship Id="rId9" Type="http://schemas.openxmlformats.org/officeDocument/2006/relationships/footer" Target="footer1.xml" /></Relationships>
</file>

<file path=word/_rels/footer1.xml.rels>&#65279;<?xml version="1.0" encoding="utf-8" standalone="yes"?><Relationships xmlns="http://schemas.openxmlformats.org/package/2006/relationships"><Relationship Id="rId1" Type="http://schemas.openxmlformats.org/officeDocument/2006/relationships/hyperlink" Target="http://www.shiptacenter.org/" TargetMode="External" /><Relationship Id="rId2" Type="http://schemas.openxmlformats.org/officeDocument/2006/relationships/hyperlink" Target="mailto:info@shiptacenter.org"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1A51B5A-8848-4D38-A07C-E8EE62C9185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