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9.0 -->
  <w:body>
    <w:p>
      <w:pPr>
        <w:spacing w:before="0" w:after="120" w:line="276" w:lineRule="auto"/>
        <w:jc w:val="center"/>
        <w:rPr>
          <w:sz w:val="32"/>
          <w:szCs w:val="32"/>
        </w:rPr>
      </w:pPr>
      <w:r>
        <w:rPr>
          <w:strike w:val="0"/>
          <w:sz w:val="32"/>
          <w:szCs w:val="32"/>
          <w:u w:val="none"/>
        </w:rPr>
        <w:drawing>
          <wp:anchor simplePos="0" relativeHeight="251658240" behindDoc="0" locked="0" layoutInCell="1" allowOverlap="0">
            <wp:simplePos x="0" y="0"/>
            <wp:positionH relativeFrom="margin">
              <wp:align>left</wp:align>
            </wp:positionH>
            <wp:positionV relativeFrom="margin">
              <wp:posOffset>-485648</wp:posOffset>
            </wp:positionV>
            <wp:extent cx="2124075" cy="1114425"/>
            <wp:wrapSquare wrapText="bothSides"/>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2124075" cy="1114425"/>
                    </a:xfrm>
                    <a:prstGeom prst="rect">
                      <a:avLst/>
                    </a:prstGeom>
                  </pic:spPr>
                </pic:pic>
              </a:graphicData>
            </a:graphic>
          </wp:anchor>
        </w:drawing>
      </w:r>
      <w:r>
        <w:rPr>
          <w:rFonts w:ascii="Arial" w:eastAsia="Arial" w:hAnsi="Arial" w:cs="Arial"/>
          <w:b/>
          <w:bCs/>
          <w:sz w:val="32"/>
          <w:szCs w:val="32"/>
        </w:rPr>
        <w:t xml:space="preserve">Medicare </w:t>
      </w:r>
      <w:r>
        <w:rPr>
          <w:rFonts w:ascii="Arial" w:eastAsia="Arial" w:hAnsi="Arial" w:cs="Arial"/>
          <w:b/>
          <w:bCs/>
          <w:sz w:val="32"/>
          <w:szCs w:val="32"/>
        </w:rPr>
        <w:t>C</w:t>
      </w:r>
      <w:r>
        <w:rPr>
          <w:rFonts w:ascii="Arial" w:eastAsia="Arial" w:hAnsi="Arial" w:cs="Arial"/>
          <w:b/>
          <w:bCs/>
          <w:sz w:val="32"/>
          <w:szCs w:val="32"/>
        </w:rPr>
        <w:t xml:space="preserve">overage and </w:t>
      </w:r>
      <w:r>
        <w:rPr>
          <w:rFonts w:ascii="Arial" w:eastAsia="Arial" w:hAnsi="Arial" w:cs="Arial"/>
          <w:b/>
          <w:bCs/>
          <w:sz w:val="32"/>
          <w:szCs w:val="32"/>
        </w:rPr>
        <w:t>C</w:t>
      </w:r>
      <w:r>
        <w:rPr>
          <w:rFonts w:ascii="Arial" w:eastAsia="Arial" w:hAnsi="Arial" w:cs="Arial"/>
          <w:b/>
          <w:bCs/>
          <w:sz w:val="32"/>
          <w:szCs w:val="32"/>
        </w:rPr>
        <w:t>oronaviru</w:t>
      </w:r>
      <w:r>
        <w:rPr>
          <w:rFonts w:ascii="Arial" w:eastAsia="Arial" w:hAnsi="Arial" w:cs="Arial"/>
          <w:b/>
          <w:bCs/>
          <w:sz w:val="32"/>
          <w:szCs w:val="32"/>
        </w:rPr>
        <w:t>s</w:t>
      </w:r>
    </w:p>
    <w:p>
      <w:pPr>
        <w:spacing w:before="0" w:after="240" w:line="276" w:lineRule="auto"/>
        <w:jc w:val="center"/>
        <w:rPr>
          <w:sz w:val="26"/>
          <w:szCs w:val="26"/>
        </w:rPr>
      </w:pPr>
      <w:r>
        <w:rPr>
          <w:rFonts w:ascii="Arial" w:eastAsia="Arial" w:hAnsi="Arial" w:cs="Arial"/>
          <w:sz w:val="26"/>
          <w:szCs w:val="26"/>
        </w:rPr>
        <w:t>Original Medicare-covered services related to coronavirus include:</w:t>
      </w:r>
    </w:p>
    <w:p>
      <w:pPr>
        <w:spacing w:before="0" w:after="0" w:line="276" w:lineRule="auto"/>
        <w:rPr>
          <w:sz w:val="28"/>
          <w:szCs w:val="28"/>
        </w:rPr>
      </w:pPr>
      <w:r>
        <w:rPr>
          <w:rFonts w:ascii="Arial" w:eastAsia="Arial" w:hAnsi="Arial" w:cs="Arial"/>
          <w:b/>
          <w:bCs/>
          <w:sz w:val="28"/>
          <w:szCs w:val="28"/>
        </w:rPr>
        <w:t>COVID-19</w:t>
      </w:r>
      <w:r>
        <w:rPr>
          <w:rFonts w:ascii="Arial" w:eastAsia="Arial" w:hAnsi="Arial" w:cs="Arial"/>
          <w:b/>
          <w:bCs/>
          <w:sz w:val="28"/>
          <w:szCs w:val="28"/>
        </w:rPr>
        <w:t xml:space="preserve"> testing </w:t>
      </w:r>
    </w:p>
    <w:p>
      <w:pPr>
        <w:numPr>
          <w:ilvl w:val="0"/>
          <w:numId w:val="1"/>
        </w:numPr>
        <w:pBdr>
          <w:left w:val="none" w:sz="0" w:space="7" w:color="auto"/>
        </w:pBdr>
        <w:spacing w:before="0" w:after="160" w:line="276" w:lineRule="auto"/>
        <w:ind w:left="720" w:right="0" w:hanging="443"/>
        <w:jc w:val="left"/>
        <w:rPr>
          <w:rFonts w:ascii="Times New Roman" w:eastAsia="Times New Roman" w:hAnsi="Times New Roman" w:cs="Times New Roman"/>
          <w:sz w:val="26"/>
          <w:szCs w:val="26"/>
        </w:rPr>
      </w:pPr>
      <w:r>
        <w:rPr>
          <w:rFonts w:ascii="Arial" w:eastAsia="Arial" w:hAnsi="Arial" w:cs="Arial"/>
        </w:rPr>
        <w:t>Your doctor can bill Medicare for testing provided after February 4, 2020. Medicare covers your first coronavirus test without an order from a doctor other qualified health care provider. After your first test, Medicare requires you to get an order from your provider for any further coronavirus tests you receive. You will owe nothing for the laboratory test and related provider visits (no deductible, coinsurance, or copayment). This applies to both Original Medicare and Medicare Advantage Plans.</w:t>
      </w:r>
    </w:p>
    <w:p>
      <w:pPr>
        <w:spacing w:before="0" w:after="0" w:line="276" w:lineRule="auto"/>
        <w:rPr>
          <w:sz w:val="28"/>
          <w:szCs w:val="28"/>
        </w:rPr>
      </w:pPr>
      <w:r>
        <w:rPr>
          <w:rFonts w:ascii="Arial" w:eastAsia="Arial" w:hAnsi="Arial" w:cs="Arial"/>
          <w:b/>
          <w:bCs/>
          <w:sz w:val="28"/>
          <w:szCs w:val="28"/>
        </w:rPr>
        <w:t>COVID-19 antibody treatment</w:t>
      </w:r>
    </w:p>
    <w:p>
      <w:pPr>
        <w:numPr>
          <w:ilvl w:val="0"/>
          <w:numId w:val="2"/>
        </w:numPr>
        <w:pBdr>
          <w:left w:val="none" w:sz="0" w:space="7" w:color="auto"/>
        </w:pBdr>
        <w:spacing w:before="0" w:after="240" w:line="276" w:lineRule="auto"/>
        <w:ind w:left="720" w:right="0" w:hanging="436"/>
        <w:jc w:val="left"/>
        <w:rPr>
          <w:rFonts w:ascii="Times New Roman" w:eastAsia="Times New Roman" w:hAnsi="Times New Roman" w:cs="Times New Roman"/>
        </w:rPr>
      </w:pPr>
      <w:r>
        <w:rPr>
          <w:rFonts w:ascii="Arial" w:eastAsia="Arial" w:hAnsi="Arial" w:cs="Arial"/>
        </w:rPr>
        <w:t>Medicare covers monoclonal antibodies to treat COVID-19. You will owe no cost-sharing (deducible, coinsurance, or copayment).</w:t>
      </w:r>
    </w:p>
    <w:p>
      <w:pPr>
        <w:spacing w:before="0" w:after="0" w:line="276" w:lineRule="auto"/>
        <w:rPr>
          <w:sz w:val="28"/>
          <w:szCs w:val="28"/>
        </w:rPr>
      </w:pPr>
      <w:r>
        <w:rPr>
          <w:rFonts w:ascii="Arial" w:eastAsia="Arial" w:hAnsi="Arial" w:cs="Arial"/>
          <w:b/>
          <w:bCs/>
          <w:sz w:val="28"/>
          <w:szCs w:val="28"/>
        </w:rPr>
        <w:t xml:space="preserve">Telehealth benefits </w:t>
      </w:r>
    </w:p>
    <w:p>
      <w:pPr>
        <w:numPr>
          <w:ilvl w:val="0"/>
          <w:numId w:val="3"/>
        </w:numPr>
        <w:pBdr>
          <w:left w:val="none" w:sz="0" w:space="7" w:color="auto"/>
        </w:pBdr>
        <w:spacing w:before="0" w:after="240" w:line="276" w:lineRule="auto"/>
        <w:ind w:left="720" w:right="0" w:hanging="436"/>
        <w:jc w:val="left"/>
        <w:rPr>
          <w:rFonts w:ascii="Times New Roman" w:eastAsia="Times New Roman" w:hAnsi="Times New Roman" w:cs="Times New Roman"/>
        </w:rPr>
      </w:pPr>
      <w:r>
        <w:rPr>
          <w:rFonts w:ascii="Arial" w:eastAsia="Arial" w:hAnsi="Arial" w:cs="Arial"/>
        </w:rPr>
        <w:t>A telehealth service is a full visit with your doctor using video technology. During the public health emergency, Medicare covers hospital and doctors’ office visits, mental health counseling, preventive health screenings, and other visits via telehealth for all people with Medicare. You can access these benefits at home or in health care settings. You may owe standard cost-sharing (like a coinsurance or copayment) for these services</w:t>
      </w:r>
      <w:r>
        <w:rPr>
          <w:rFonts w:ascii="Arial" w:eastAsia="Arial" w:hAnsi="Arial" w:cs="Arial"/>
        </w:rPr>
        <w:t>,</w:t>
      </w:r>
      <w:r>
        <w:rPr>
          <w:rFonts w:ascii="Arial" w:eastAsia="Arial" w:hAnsi="Arial" w:cs="Arial"/>
        </w:rPr>
        <w:t xml:space="preserve"> but contact your provider to learn more. If you have a Medicare Advantage Plan, contact your plan to learn about its costs and coverage. </w:t>
      </w:r>
    </w:p>
    <w:p>
      <w:pPr>
        <w:spacing w:before="0" w:after="120" w:line="276" w:lineRule="auto"/>
        <w:rPr>
          <w:sz w:val="28"/>
          <w:szCs w:val="28"/>
        </w:rPr>
      </w:pPr>
      <w:r>
        <w:rPr>
          <w:rFonts w:ascii="Arial" w:eastAsia="Arial" w:hAnsi="Arial" w:cs="Arial"/>
          <w:b/>
          <w:bCs/>
          <w:sz w:val="28"/>
          <w:szCs w:val="28"/>
        </w:rPr>
        <w:t>COVID-19 vaccine</w:t>
      </w:r>
    </w:p>
    <w:p>
      <w:pPr>
        <w:numPr>
          <w:ilvl w:val="0"/>
          <w:numId w:val="4"/>
        </w:numPr>
        <w:pBdr>
          <w:left w:val="none" w:sz="0" w:space="7" w:color="auto"/>
        </w:pBdr>
        <w:spacing w:before="0" w:after="120" w:line="276" w:lineRule="auto"/>
        <w:ind w:left="720" w:right="0" w:hanging="436"/>
        <w:jc w:val="left"/>
        <w:rPr>
          <w:rFonts w:ascii="Times New Roman" w:eastAsia="Times New Roman" w:hAnsi="Times New Roman" w:cs="Times New Roman"/>
        </w:rPr>
      </w:pPr>
      <w:r>
        <w:rPr>
          <w:rFonts w:ascii="ArialMT" w:eastAsia="ArialMT" w:hAnsi="ArialMT" w:cs="ArialMT"/>
          <w:sz w:val="26"/>
          <w:szCs w:val="26"/>
        </w:rPr>
        <w:t xml:space="preserve">A COVID-19 vaccine has been authorized for limited emergency use, meaning that </w:t>
      </w:r>
      <w:r>
        <w:rPr>
          <w:rFonts w:ascii="ArialMT" w:eastAsia="ArialMT" w:hAnsi="ArialMT" w:cs="ArialMT"/>
          <w:sz w:val="26"/>
          <w:szCs w:val="26"/>
        </w:rPr>
        <w:t>the vaccine is not yet approved for or available to everyone. Speak with your doctor to learn more about your eligibility to receive the vaccine and its availability in your state. Original Medicare Part B covers the vaccine, regardless of whether you have Original Medicare or a Medicare Advantage Plan. You will owe no cost- sharing (deductibles, copayments, or coinsurance).</w:t>
      </w:r>
    </w:p>
    <w:p>
      <w:pPr>
        <w:spacing w:before="0" w:after="0" w:line="276" w:lineRule="auto"/>
        <w:rPr>
          <w:sz w:val="28"/>
          <w:szCs w:val="28"/>
        </w:rPr>
      </w:pPr>
      <w:r>
        <w:rPr>
          <w:rFonts w:ascii="Arial" w:eastAsia="Arial" w:hAnsi="Arial" w:cs="Arial"/>
          <w:b/>
          <w:bCs/>
          <w:sz w:val="28"/>
          <w:szCs w:val="28"/>
        </w:rPr>
        <w:t xml:space="preserve">Prescription refills </w:t>
      </w:r>
    </w:p>
    <w:p>
      <w:pPr>
        <w:numPr>
          <w:ilvl w:val="0"/>
          <w:numId w:val="5"/>
        </w:numPr>
        <w:pBdr>
          <w:left w:val="none" w:sz="0" w:space="7" w:color="auto"/>
        </w:pBdr>
        <w:spacing w:before="0" w:after="240" w:line="276" w:lineRule="auto"/>
        <w:ind w:left="720" w:right="0" w:hanging="436"/>
        <w:jc w:val="left"/>
        <w:rPr>
          <w:rFonts w:ascii="Times New Roman" w:eastAsia="Times New Roman" w:hAnsi="Times New Roman" w:cs="Times New Roman"/>
        </w:rPr>
      </w:pPr>
      <w:r>
        <w:rPr>
          <w:rFonts w:ascii="Arial" w:eastAsia="Arial" w:hAnsi="Arial" w:cs="Arial"/>
        </w:rPr>
        <w:t xml:space="preserve">If you want to refill your prescriptions early so that you have extra medication on hand, contact your Part D drug plan. Your plan should remove restrictions that stop you from refilling most prescriptions too soon. During the emergency, plans must cover up to a 90-day supply of a drug when you ask for it. However, plans cannot provide a 90-day supply of a drug if it has </w:t>
      </w:r>
      <w:r>
        <w:rPr>
          <w:rFonts w:ascii="Arial" w:eastAsia="Arial" w:hAnsi="Arial" w:cs="Arial"/>
        </w:rPr>
        <w:t xml:space="preserve">certain restrictions on the amount that can be safely provided. These restrictions are called </w:t>
      </w:r>
      <w:r>
        <w:rPr>
          <w:rFonts w:ascii="Arial" w:eastAsia="Arial" w:hAnsi="Arial" w:cs="Arial"/>
        </w:rPr>
        <w:t>safety edit</w:t>
      </w:r>
      <w:r>
        <w:rPr>
          <w:rFonts w:ascii="Arial" w:eastAsia="Arial" w:hAnsi="Arial" w:cs="Arial"/>
        </w:rPr>
        <w:t>s, and they commonly apply to opioids.</w:t>
      </w:r>
      <w:r>
        <w:rPr>
          <w:rFonts w:ascii="Arial" w:eastAsia="Arial" w:hAnsi="Arial" w:cs="Arial"/>
          <w:sz w:val="22"/>
          <w:szCs w:val="22"/>
        </w:rPr>
        <w:t xml:space="preserve"> </w:t>
      </w:r>
    </w:p>
    <w:p>
      <w:pPr>
        <w:spacing w:before="0" w:after="120" w:line="276" w:lineRule="auto"/>
        <w:rPr>
          <w:sz w:val="28"/>
          <w:szCs w:val="28"/>
        </w:rPr>
      </w:pPr>
      <w:r>
        <w:rPr>
          <w:rFonts w:ascii="Arial" w:eastAsia="Arial" w:hAnsi="Arial" w:cs="Arial"/>
          <w:sz w:val="28"/>
          <w:szCs w:val="28"/>
        </w:rPr>
        <w:t xml:space="preserve">Medicare Advantage Plans must cover everything that Original Medicare does, but they can do so with different costs and restrictions. </w:t>
      </w:r>
    </w:p>
    <w:p>
      <w:pPr>
        <w:spacing w:before="0" w:after="120" w:line="276" w:lineRule="auto"/>
        <w:jc w:val="center"/>
        <w:rPr>
          <w:sz w:val="32"/>
          <w:szCs w:val="32"/>
        </w:rPr>
      </w:pPr>
      <w:r>
        <w:rPr>
          <w:rFonts w:ascii="Arial" w:eastAsia="Arial" w:hAnsi="Arial" w:cs="Arial"/>
          <w:b/>
          <w:bCs/>
          <w:sz w:val="32"/>
          <w:szCs w:val="32"/>
        </w:rPr>
        <w:t>How to a</w:t>
      </w:r>
      <w:r>
        <w:rPr>
          <w:rFonts w:ascii="Arial" w:eastAsia="Arial" w:hAnsi="Arial" w:cs="Arial"/>
          <w:b/>
          <w:bCs/>
          <w:sz w:val="32"/>
          <w:szCs w:val="32"/>
        </w:rPr>
        <w:t>ccess</w:t>
      </w:r>
      <w:r>
        <w:rPr>
          <w:rFonts w:ascii="Arial" w:eastAsia="Arial" w:hAnsi="Arial" w:cs="Arial"/>
          <w:b/>
          <w:bCs/>
          <w:sz w:val="32"/>
          <w:szCs w:val="32"/>
        </w:rPr>
        <w:t xml:space="preserve"> </w:t>
      </w:r>
      <w:r>
        <w:rPr>
          <w:rFonts w:ascii="Arial" w:eastAsia="Arial" w:hAnsi="Arial" w:cs="Arial"/>
          <w:b/>
          <w:bCs/>
          <w:sz w:val="32"/>
          <w:szCs w:val="32"/>
        </w:rPr>
        <w:t>care during a public health emergency</w:t>
      </w:r>
    </w:p>
    <w:p>
      <w:pPr>
        <w:spacing w:before="0" w:after="0" w:line="276" w:lineRule="auto"/>
        <w:rPr>
          <w:sz w:val="28"/>
          <w:szCs w:val="28"/>
        </w:rPr>
      </w:pPr>
      <w:r>
        <w:rPr>
          <w:rFonts w:ascii="Arial" w:eastAsia="Arial" w:hAnsi="Arial" w:cs="Arial"/>
          <w:sz w:val="28"/>
          <w:szCs w:val="28"/>
        </w:rPr>
        <w:t xml:space="preserve">During a public health emergency, </w:t>
      </w:r>
      <w:r>
        <w:rPr>
          <w:rFonts w:ascii="Arial" w:eastAsia="Arial" w:hAnsi="Arial" w:cs="Arial"/>
          <w:sz w:val="28"/>
          <w:szCs w:val="28"/>
        </w:rPr>
        <w:t>Medicare Advantage</w:t>
      </w:r>
      <w:r>
        <w:rPr>
          <w:rFonts w:ascii="Arial" w:eastAsia="Arial" w:hAnsi="Arial" w:cs="Arial"/>
          <w:sz w:val="28"/>
          <w:szCs w:val="28"/>
        </w:rPr>
        <w:t> </w:t>
      </w:r>
      <w:r>
        <w:rPr>
          <w:rFonts w:ascii="Arial" w:eastAsia="Arial" w:hAnsi="Arial" w:cs="Arial"/>
          <w:sz w:val="28"/>
          <w:szCs w:val="28"/>
        </w:rPr>
        <w:t>and Part D plans must work to maintain access to health care services and prescription drugs</w:t>
      </w:r>
      <w:r>
        <w:rPr>
          <w:rFonts w:ascii="Arial" w:eastAsia="Arial" w:hAnsi="Arial" w:cs="Arial"/>
          <w:sz w:val="28"/>
          <w:szCs w:val="28"/>
        </w:rPr>
        <w:t>.</w:t>
      </w:r>
    </w:p>
    <w:p>
      <w:pPr>
        <w:spacing w:before="0" w:after="0" w:line="276" w:lineRule="auto"/>
        <w:rPr>
          <w:sz w:val="28"/>
          <w:szCs w:val="28"/>
        </w:rPr>
      </w:pPr>
    </w:p>
    <w:p>
      <w:pPr>
        <w:spacing w:before="0" w:after="0" w:line="276" w:lineRule="auto"/>
        <w:rPr>
          <w:sz w:val="28"/>
          <w:szCs w:val="28"/>
        </w:rPr>
      </w:pPr>
      <w:r>
        <w:rPr>
          <w:rFonts w:ascii="Arial" w:eastAsia="Arial" w:hAnsi="Arial" w:cs="Arial"/>
          <w:b/>
          <w:bCs/>
          <w:sz w:val="28"/>
          <w:szCs w:val="28"/>
        </w:rPr>
        <w:t>Medicare Advantage Plans must:</w:t>
      </w:r>
      <w:r>
        <w:rPr>
          <w:rFonts w:ascii="Arial" w:eastAsia="Arial" w:hAnsi="Arial" w:cs="Arial"/>
          <w:sz w:val="28"/>
          <w:szCs w:val="28"/>
        </w:rPr>
        <w:t> </w:t>
      </w:r>
    </w:p>
    <w:p>
      <w:pPr>
        <w:numPr>
          <w:ilvl w:val="0"/>
          <w:numId w:val="6"/>
        </w:numPr>
        <w:pBdr>
          <w:left w:val="none" w:sz="0" w:space="7" w:color="auto"/>
        </w:pBdr>
        <w:spacing w:before="0" w:line="276" w:lineRule="auto"/>
        <w:ind w:left="720" w:right="0" w:hanging="443"/>
        <w:jc w:val="left"/>
        <w:rPr>
          <w:rFonts w:ascii="Times New Roman" w:eastAsia="Times New Roman" w:hAnsi="Times New Roman" w:cs="Times New Roman"/>
          <w:sz w:val="26"/>
          <w:szCs w:val="26"/>
        </w:rPr>
      </w:pPr>
      <w:r>
        <w:rPr>
          <w:rFonts w:ascii="Arial" w:eastAsia="Arial" w:hAnsi="Arial" w:cs="Arial"/>
          <w:sz w:val="26"/>
          <w:szCs w:val="26"/>
        </w:rPr>
        <w:t xml:space="preserve">Allow </w:t>
      </w:r>
      <w:r>
        <w:rPr>
          <w:rFonts w:ascii="Arial" w:eastAsia="Arial" w:hAnsi="Arial" w:cs="Arial"/>
          <w:sz w:val="26"/>
          <w:szCs w:val="26"/>
        </w:rPr>
        <w:t>you</w:t>
      </w:r>
      <w:r>
        <w:rPr>
          <w:rFonts w:ascii="Arial" w:eastAsia="Arial" w:hAnsi="Arial" w:cs="Arial"/>
          <w:sz w:val="26"/>
          <w:szCs w:val="26"/>
        </w:rPr>
        <w:t xml:space="preserve"> to receive health care services at out-of-network doctor’s offices, hospitals, and other facilities</w:t>
      </w:r>
      <w:r>
        <w:rPr>
          <w:rFonts w:ascii="Arial" w:eastAsia="Arial" w:hAnsi="Arial" w:cs="Arial"/>
          <w:sz w:val="26"/>
          <w:szCs w:val="26"/>
        </w:rPr>
        <w:t> </w:t>
      </w:r>
    </w:p>
    <w:p>
      <w:pPr>
        <w:numPr>
          <w:ilvl w:val="0"/>
          <w:numId w:val="6"/>
        </w:numPr>
        <w:pBdr>
          <w:left w:val="none" w:sz="0" w:space="7" w:color="auto"/>
        </w:pBdr>
        <w:spacing w:line="276" w:lineRule="auto"/>
        <w:ind w:left="720" w:right="0" w:hanging="443"/>
        <w:jc w:val="left"/>
        <w:rPr>
          <w:rFonts w:ascii="Times New Roman" w:eastAsia="Times New Roman" w:hAnsi="Times New Roman" w:cs="Times New Roman"/>
          <w:sz w:val="26"/>
          <w:szCs w:val="26"/>
        </w:rPr>
      </w:pPr>
      <w:r>
        <w:rPr>
          <w:rFonts w:ascii="Arial" w:eastAsia="Arial" w:hAnsi="Arial" w:cs="Arial"/>
          <w:sz w:val="26"/>
          <w:szCs w:val="26"/>
        </w:rPr>
        <w:t>Charge in-network cost-sharing amounts for services received out-of-network</w:t>
      </w:r>
      <w:r>
        <w:rPr>
          <w:rFonts w:ascii="Arial" w:eastAsia="Arial" w:hAnsi="Arial" w:cs="Arial"/>
          <w:sz w:val="26"/>
          <w:szCs w:val="26"/>
        </w:rPr>
        <w:t> </w:t>
      </w:r>
    </w:p>
    <w:p>
      <w:pPr>
        <w:numPr>
          <w:ilvl w:val="0"/>
          <w:numId w:val="6"/>
        </w:numPr>
        <w:pBdr>
          <w:left w:val="none" w:sz="0" w:space="7" w:color="auto"/>
        </w:pBdr>
        <w:spacing w:line="276" w:lineRule="auto"/>
        <w:ind w:left="720" w:right="0" w:hanging="443"/>
        <w:jc w:val="left"/>
        <w:rPr>
          <w:rFonts w:ascii="Times New Roman" w:eastAsia="Times New Roman" w:hAnsi="Times New Roman" w:cs="Times New Roman"/>
          <w:sz w:val="26"/>
          <w:szCs w:val="26"/>
        </w:rPr>
      </w:pPr>
      <w:r>
        <w:rPr>
          <w:rFonts w:ascii="Arial" w:eastAsia="Arial" w:hAnsi="Arial" w:cs="Arial"/>
          <w:sz w:val="26"/>
          <w:szCs w:val="26"/>
        </w:rPr>
        <w:t>Waive referral requirements</w:t>
      </w:r>
      <w:r>
        <w:rPr>
          <w:rFonts w:ascii="Arial" w:eastAsia="Arial" w:hAnsi="Arial" w:cs="Arial"/>
          <w:sz w:val="26"/>
          <w:szCs w:val="26"/>
        </w:rPr>
        <w:t> </w:t>
      </w:r>
    </w:p>
    <w:p>
      <w:pPr>
        <w:numPr>
          <w:ilvl w:val="0"/>
          <w:numId w:val="6"/>
        </w:numPr>
        <w:pBdr>
          <w:left w:val="none" w:sz="0" w:space="7" w:color="auto"/>
        </w:pBdr>
        <w:spacing w:after="240" w:line="276" w:lineRule="auto"/>
        <w:ind w:left="720" w:right="0" w:hanging="443"/>
        <w:jc w:val="left"/>
        <w:rPr>
          <w:rFonts w:ascii="Times New Roman" w:eastAsia="Times New Roman" w:hAnsi="Times New Roman" w:cs="Times New Roman"/>
          <w:sz w:val="26"/>
          <w:szCs w:val="26"/>
        </w:rPr>
      </w:pPr>
      <w:r>
        <w:rPr>
          <w:rFonts w:ascii="Arial" w:eastAsia="Arial" w:hAnsi="Arial" w:cs="Arial"/>
          <w:sz w:val="26"/>
          <w:szCs w:val="26"/>
        </w:rPr>
        <w:t xml:space="preserve">Suspend rules requiring </w:t>
      </w:r>
      <w:r>
        <w:rPr>
          <w:rFonts w:ascii="Arial" w:eastAsia="Arial" w:hAnsi="Arial" w:cs="Arial"/>
          <w:sz w:val="26"/>
          <w:szCs w:val="26"/>
        </w:rPr>
        <w:t xml:space="preserve">you to </w:t>
      </w:r>
      <w:r>
        <w:rPr>
          <w:rFonts w:ascii="Arial" w:eastAsia="Arial" w:hAnsi="Arial" w:cs="Arial"/>
          <w:sz w:val="26"/>
          <w:szCs w:val="26"/>
        </w:rPr>
        <w:t>tell the plan before getting certain kinds of care or prescription drugs, if failing to contact the plan ahead of time could raise costs or limit access to care</w:t>
      </w:r>
      <w:r>
        <w:rPr>
          <w:rFonts w:ascii="Arial" w:eastAsia="Arial" w:hAnsi="Arial" w:cs="Arial"/>
          <w:sz w:val="26"/>
          <w:szCs w:val="26"/>
        </w:rPr>
        <w:t> </w:t>
      </w:r>
    </w:p>
    <w:p>
      <w:pPr>
        <w:spacing w:before="0" w:after="0" w:line="276" w:lineRule="auto"/>
        <w:rPr>
          <w:sz w:val="28"/>
          <w:szCs w:val="28"/>
        </w:rPr>
      </w:pPr>
      <w:r>
        <w:rPr>
          <w:rFonts w:ascii="Arial" w:eastAsia="Arial" w:hAnsi="Arial" w:cs="Arial"/>
          <w:b/>
          <w:bCs/>
          <w:sz w:val="28"/>
          <w:szCs w:val="28"/>
        </w:rPr>
        <w:t>Part</w:t>
      </w:r>
      <w:r>
        <w:rPr>
          <w:rFonts w:ascii="Arial" w:eastAsia="Arial" w:hAnsi="Arial" w:cs="Arial"/>
          <w:b/>
          <w:bCs/>
          <w:sz w:val="28"/>
          <w:szCs w:val="28"/>
        </w:rPr>
        <w:t> </w:t>
      </w:r>
      <w:r>
        <w:rPr>
          <w:rFonts w:ascii="Arial" w:eastAsia="Arial" w:hAnsi="Arial" w:cs="Arial"/>
          <w:b/>
          <w:bCs/>
          <w:sz w:val="28"/>
          <w:szCs w:val="28"/>
        </w:rPr>
        <w:t>D plans must:</w:t>
      </w:r>
      <w:r>
        <w:rPr>
          <w:rFonts w:ascii="Arial" w:eastAsia="Arial" w:hAnsi="Arial" w:cs="Arial"/>
          <w:sz w:val="28"/>
          <w:szCs w:val="28"/>
        </w:rPr>
        <w:t> </w:t>
      </w:r>
    </w:p>
    <w:p>
      <w:pPr>
        <w:numPr>
          <w:ilvl w:val="0"/>
          <w:numId w:val="7"/>
        </w:numPr>
        <w:pBdr>
          <w:left w:val="none" w:sz="0" w:space="7" w:color="auto"/>
        </w:pBdr>
        <w:spacing w:before="0" w:line="276" w:lineRule="auto"/>
        <w:ind w:left="720" w:right="0" w:hanging="443"/>
        <w:jc w:val="left"/>
        <w:rPr>
          <w:rFonts w:ascii="Times New Roman" w:eastAsia="Times New Roman" w:hAnsi="Times New Roman" w:cs="Times New Roman"/>
          <w:sz w:val="26"/>
          <w:szCs w:val="26"/>
        </w:rPr>
      </w:pPr>
      <w:r>
        <w:rPr>
          <w:rFonts w:ascii="Arial" w:eastAsia="Arial" w:hAnsi="Arial" w:cs="Arial"/>
          <w:sz w:val="26"/>
          <w:szCs w:val="26"/>
        </w:rPr>
        <w:t>Cover formulary Part D drugs filled at out-of</w:t>
      </w:r>
      <w:r>
        <w:rPr>
          <w:rFonts w:ascii="Arial" w:eastAsia="Arial" w:hAnsi="Arial" w:cs="Arial"/>
          <w:sz w:val="26"/>
          <w:szCs w:val="26"/>
        </w:rPr>
        <w:t>-</w:t>
      </w:r>
      <w:r>
        <w:rPr>
          <w:rFonts w:ascii="Arial" w:eastAsia="Arial" w:hAnsi="Arial" w:cs="Arial"/>
          <w:sz w:val="26"/>
          <w:szCs w:val="26"/>
        </w:rPr>
        <w:t>network pharmacies</w:t>
      </w:r>
      <w:r>
        <w:rPr>
          <w:rFonts w:ascii="Arial" w:eastAsia="Arial" w:hAnsi="Arial" w:cs="Arial"/>
          <w:sz w:val="26"/>
          <w:szCs w:val="26"/>
        </w:rPr>
        <w:t> </w:t>
      </w:r>
    </w:p>
    <w:p>
      <w:pPr>
        <w:numPr>
          <w:ilvl w:val="1"/>
          <w:numId w:val="7"/>
        </w:numPr>
        <w:pBdr>
          <w:left w:val="none" w:sz="0" w:space="5" w:color="auto"/>
        </w:pBdr>
        <w:spacing w:line="276" w:lineRule="auto"/>
        <w:ind w:left="1440" w:right="0" w:hanging="360"/>
        <w:jc w:val="left"/>
        <w:rPr>
          <w:rFonts w:ascii="Times New Roman" w:eastAsia="Times New Roman" w:hAnsi="Times New Roman" w:cs="Times New Roman"/>
          <w:sz w:val="26"/>
          <w:szCs w:val="26"/>
        </w:rPr>
      </w:pPr>
      <w:r>
        <w:rPr>
          <w:rFonts w:ascii="Arial" w:eastAsia="Arial" w:hAnsi="Arial" w:cs="Arial"/>
          <w:sz w:val="26"/>
          <w:szCs w:val="26"/>
        </w:rPr>
        <w:t>Part D plans must do this when you cannot be expected to get covered Part D drugs at an in-network pharmacy</w:t>
      </w:r>
      <w:r>
        <w:rPr>
          <w:rFonts w:ascii="Arial" w:eastAsia="Arial" w:hAnsi="Arial" w:cs="Arial"/>
          <w:sz w:val="26"/>
          <w:szCs w:val="26"/>
        </w:rPr>
        <w:t> </w:t>
      </w:r>
    </w:p>
    <w:p>
      <w:pPr>
        <w:numPr>
          <w:ilvl w:val="0"/>
          <w:numId w:val="7"/>
        </w:numPr>
        <w:pBdr>
          <w:left w:val="none" w:sz="0" w:space="7" w:color="auto"/>
        </w:pBdr>
        <w:spacing w:after="0" w:line="276" w:lineRule="auto"/>
        <w:ind w:left="720" w:right="0" w:hanging="443"/>
        <w:jc w:val="left"/>
        <w:rPr>
          <w:rFonts w:ascii="Times New Roman" w:eastAsia="Times New Roman" w:hAnsi="Times New Roman" w:cs="Times New Roman"/>
          <w:sz w:val="26"/>
          <w:szCs w:val="26"/>
        </w:rPr>
      </w:pPr>
      <w:r>
        <w:rPr>
          <w:rFonts w:ascii="Arial" w:eastAsia="Arial" w:hAnsi="Arial" w:cs="Arial"/>
          <w:sz w:val="26"/>
          <w:szCs w:val="26"/>
        </w:rPr>
        <w:t xml:space="preserve">Cover the maximum supply of </w:t>
      </w:r>
      <w:r>
        <w:rPr>
          <w:rFonts w:ascii="Arial" w:eastAsia="Arial" w:hAnsi="Arial" w:cs="Arial"/>
          <w:sz w:val="26"/>
          <w:szCs w:val="26"/>
        </w:rPr>
        <w:t xml:space="preserve">your </w:t>
      </w:r>
      <w:r>
        <w:rPr>
          <w:rFonts w:ascii="Arial" w:eastAsia="Arial" w:hAnsi="Arial" w:cs="Arial"/>
          <w:sz w:val="26"/>
          <w:szCs w:val="26"/>
        </w:rPr>
        <w:t xml:space="preserve">refill </w:t>
      </w:r>
      <w:r>
        <w:rPr>
          <w:rFonts w:ascii="Arial" w:eastAsia="Arial" w:hAnsi="Arial" w:cs="Arial"/>
          <w:sz w:val="26"/>
          <w:szCs w:val="26"/>
        </w:rPr>
        <w:t xml:space="preserve">at your </w:t>
      </w:r>
      <w:r>
        <w:rPr>
          <w:rFonts w:ascii="Arial" w:eastAsia="Arial" w:hAnsi="Arial" w:cs="Arial"/>
          <w:sz w:val="26"/>
          <w:szCs w:val="26"/>
        </w:rPr>
        <w:t>request</w:t>
      </w:r>
    </w:p>
    <w:p>
      <w:pPr>
        <w:spacing w:before="0" w:after="0" w:line="276" w:lineRule="auto"/>
        <w:rPr>
          <w:sz w:val="26"/>
          <w:szCs w:val="26"/>
        </w:rPr>
      </w:pPr>
    </w:p>
    <w:p>
      <w:pPr>
        <w:spacing w:before="1" w:after="0" w:line="262" w:lineRule="auto"/>
        <w:ind w:right="565"/>
        <w:rPr>
          <w:sz w:val="28"/>
          <w:szCs w:val="28"/>
        </w:rPr>
      </w:pPr>
      <w:r>
        <w:rPr>
          <w:rFonts w:ascii="Arial" w:eastAsia="Arial" w:hAnsi="Arial" w:cs="Arial"/>
          <w:b/>
          <w:bCs/>
          <w:sz w:val="28"/>
          <w:szCs w:val="28"/>
        </w:rPr>
        <w:t xml:space="preserve">Contact your State Health Insurance Assistance Program (SHIP) </w:t>
      </w:r>
      <w:r>
        <w:rPr>
          <w:rFonts w:ascii="Arial" w:eastAsia="Arial" w:hAnsi="Arial" w:cs="Arial"/>
          <w:sz w:val="28"/>
          <w:szCs w:val="28"/>
        </w:rPr>
        <w:t>if you need help</w:t>
      </w:r>
      <w:r>
        <w:rPr>
          <w:rFonts w:ascii="Arial" w:eastAsia="Arial" w:hAnsi="Arial" w:cs="Arial"/>
          <w:sz w:val="28"/>
          <w:szCs w:val="28"/>
        </w:rPr>
        <w:t xml:space="preserve"> understanding what Medicare covers and how to access care. </w:t>
      </w:r>
    </w:p>
    <w:p>
      <w:pPr>
        <w:spacing w:before="1" w:after="0" w:line="262" w:lineRule="auto"/>
        <w:ind w:right="565"/>
        <w:rPr>
          <w:sz w:val="28"/>
          <w:szCs w:val="28"/>
        </w:rPr>
      </w:pPr>
    </w:p>
    <w:p>
      <w:pPr>
        <w:spacing w:before="0" w:after="0"/>
        <w:rPr>
          <w:sz w:val="28"/>
          <w:szCs w:val="28"/>
        </w:rPr>
      </w:pPr>
    </w:p>
    <w:tbl>
      <w:tblPr>
        <w:tblW w:w="10890" w:type="dxa"/>
        <w:tblInd w:w="105" w:type="dxa"/>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blGrid>
        <w:gridCol w:w="10830"/>
      </w:tblGrid>
      <w:tr>
        <w:tblPrEx>
          <w:tblW w:w="10890" w:type="dxa"/>
          <w:tblInd w:w="105" w:type="dxa"/>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Ex>
        <w:trPr>
          <w:trHeight w:val="266"/>
        </w:trPr>
        <w:tc>
          <w:tcPr>
            <w:tcW w:w="10890" w:type="dxa"/>
            <w:tcBorders>
              <w:bottom w:val="single" w:sz="12" w:space="0" w:color="000000"/>
            </w:tcBorders>
            <w:shd w:val="clear" w:color="auto" w:fill="373C6C"/>
            <w:noWrap w:val="0"/>
            <w:tcMar>
              <w:top w:w="15" w:type="dxa"/>
              <w:left w:w="15" w:type="dxa"/>
              <w:bottom w:w="15" w:type="dxa"/>
              <w:right w:w="15" w:type="dxa"/>
            </w:tcMar>
            <w:vAlign w:val="top"/>
          </w:tcPr>
          <w:p>
            <w:pPr>
              <w:widowControl w:val="0"/>
              <w:spacing w:before="0" w:after="0"/>
              <w:rPr>
                <w:b w:val="0"/>
                <w:bCs w:val="0"/>
                <w:i w:val="0"/>
                <w:iCs w:val="0"/>
                <w:smallCaps w:val="0"/>
                <w:color w:val="000000"/>
                <w:sz w:val="18"/>
                <w:szCs w:val="18"/>
              </w:rPr>
            </w:pPr>
          </w:p>
        </w:tc>
      </w:tr>
      <w:tr>
        <w:tblPrEx>
          <w:tblW w:w="10890" w:type="dxa"/>
          <w:tblInd w:w="105" w:type="dxa"/>
          <w:tblCellMar>
            <w:top w:w="0" w:type="dxa"/>
            <w:left w:w="0" w:type="dxa"/>
            <w:bottom w:w="0" w:type="dxa"/>
            <w:right w:w="0" w:type="dxa"/>
          </w:tblCellMar>
        </w:tblPrEx>
        <w:trPr>
          <w:trHeight w:val="591"/>
        </w:trPr>
        <w:tc>
          <w:tcPr>
            <w:tcW w:w="10890" w:type="dxa"/>
            <w:tcBorders>
              <w:top w:val="single" w:sz="12" w:space="0" w:color="000000"/>
              <w:bottom w:val="single" w:sz="12" w:space="0" w:color="000000"/>
            </w:tcBorders>
            <w:shd w:val="clear" w:color="auto" w:fill="5B9BD5"/>
            <w:noWrap w:val="0"/>
            <w:tcMar>
              <w:top w:w="15" w:type="dxa"/>
              <w:left w:w="15" w:type="dxa"/>
              <w:bottom w:w="15" w:type="dxa"/>
              <w:right w:w="15" w:type="dxa"/>
            </w:tcMar>
            <w:vAlign w:val="top"/>
            <w:hideMark/>
          </w:tcPr>
          <w:p>
            <w:pPr>
              <w:widowControl w:val="0"/>
              <w:spacing w:before="91" w:after="0"/>
              <w:ind w:left="863"/>
              <w:rPr>
                <w:b w:val="0"/>
                <w:bCs w:val="0"/>
                <w:i w:val="0"/>
                <w:iCs w:val="0"/>
                <w:smallCaps w:val="0"/>
                <w:color w:val="000000"/>
                <w:sz w:val="32"/>
                <w:szCs w:val="32"/>
              </w:rPr>
            </w:pPr>
            <w:r>
              <w:rPr>
                <w:rFonts w:ascii="Arial" w:eastAsia="Arial" w:hAnsi="Arial" w:cs="Arial"/>
                <w:b/>
                <w:bCs/>
                <w:i w:val="0"/>
                <w:iCs w:val="0"/>
                <w:smallCaps w:val="0"/>
                <w:color w:val="FFFFFF"/>
                <w:sz w:val="32"/>
                <w:szCs w:val="32"/>
              </w:rPr>
              <w:t>Local SHIP contact information</w:t>
            </w:r>
          </w:p>
        </w:tc>
      </w:tr>
      <w:tr>
        <w:tblPrEx>
          <w:tblW w:w="10890" w:type="dxa"/>
          <w:tblInd w:w="105" w:type="dxa"/>
          <w:tblCellMar>
            <w:top w:w="0" w:type="dxa"/>
            <w:left w:w="0" w:type="dxa"/>
            <w:bottom w:w="0" w:type="dxa"/>
            <w:right w:w="0" w:type="dxa"/>
          </w:tblCellMar>
        </w:tblPrEx>
        <w:trPr>
          <w:trHeight w:val="789"/>
        </w:trPr>
        <w:tc>
          <w:tcPr>
            <w:tcW w:w="10890" w:type="dxa"/>
            <w:tcBorders>
              <w:top w:val="single" w:sz="12" w:space="0" w:color="000000"/>
              <w:bottom w:val="single" w:sz="12" w:space="0" w:color="000000"/>
            </w:tcBorders>
            <w:noWrap w:val="0"/>
            <w:tcMar>
              <w:top w:w="15" w:type="dxa"/>
              <w:left w:w="15" w:type="dxa"/>
              <w:bottom w:w="15" w:type="dxa"/>
              <w:right w:w="15" w:type="dxa"/>
            </w:tcMar>
            <w:vAlign w:val="center"/>
            <w:hideMark/>
          </w:tcPr>
          <w:p>
            <w:pPr>
              <w:widowControl w:val="0"/>
              <w:spacing w:before="54" w:after="0"/>
              <w:ind w:left="110"/>
              <w:rPr>
                <w:b w:val="0"/>
                <w:bCs w:val="0"/>
                <w:i w:val="0"/>
                <w:iCs w:val="0"/>
                <w:smallCaps w:val="0"/>
                <w:color w:val="000000"/>
              </w:rPr>
            </w:pPr>
            <w:r>
              <w:rPr>
                <w:rFonts w:ascii="Arial" w:eastAsia="Arial" w:hAnsi="Arial" w:cs="Arial"/>
                <w:b/>
                <w:bCs/>
                <w:i w:val="0"/>
                <w:iCs w:val="0"/>
                <w:smallCaps w:val="0"/>
                <w:color w:val="000000"/>
              </w:rPr>
              <w:t>SHIP toll-free:</w:t>
            </w:r>
          </w:p>
        </w:tc>
      </w:tr>
      <w:tr>
        <w:tblPrEx>
          <w:tblW w:w="10890" w:type="dxa"/>
          <w:tblInd w:w="105" w:type="dxa"/>
          <w:tblCellMar>
            <w:top w:w="0" w:type="dxa"/>
            <w:left w:w="0" w:type="dxa"/>
            <w:bottom w:w="0" w:type="dxa"/>
            <w:right w:w="0" w:type="dxa"/>
          </w:tblCellMar>
        </w:tblPrEx>
        <w:trPr>
          <w:trHeight w:val="753"/>
        </w:trPr>
        <w:tc>
          <w:tcPr>
            <w:tcW w:w="10890" w:type="dxa"/>
            <w:tcBorders>
              <w:top w:val="single" w:sz="12" w:space="0" w:color="000000"/>
              <w:bottom w:val="single" w:sz="12" w:space="0" w:color="000000"/>
            </w:tcBorders>
            <w:noWrap w:val="0"/>
            <w:tcMar>
              <w:top w:w="15" w:type="dxa"/>
              <w:left w:w="15" w:type="dxa"/>
              <w:bottom w:w="15" w:type="dxa"/>
              <w:right w:w="15" w:type="dxa"/>
            </w:tcMar>
            <w:vAlign w:val="center"/>
            <w:hideMark/>
          </w:tcPr>
          <w:p>
            <w:pPr>
              <w:widowControl w:val="0"/>
              <w:spacing w:before="106" w:after="0"/>
              <w:ind w:left="110"/>
              <w:rPr>
                <w:b w:val="0"/>
                <w:bCs w:val="0"/>
                <w:i w:val="0"/>
                <w:iCs w:val="0"/>
                <w:smallCaps w:val="0"/>
                <w:color w:val="000000"/>
              </w:rPr>
            </w:pPr>
            <w:r>
              <w:rPr>
                <w:rFonts w:ascii="Arial" w:eastAsia="Arial" w:hAnsi="Arial" w:cs="Arial"/>
                <w:b/>
                <w:bCs/>
                <w:i w:val="0"/>
                <w:iCs w:val="0"/>
                <w:smallCaps w:val="0"/>
                <w:color w:val="000000"/>
              </w:rPr>
              <w:t>SHIP email:</w:t>
            </w:r>
          </w:p>
        </w:tc>
      </w:tr>
      <w:tr>
        <w:tblPrEx>
          <w:tblW w:w="10890" w:type="dxa"/>
          <w:tblInd w:w="105" w:type="dxa"/>
          <w:tblCellMar>
            <w:top w:w="0" w:type="dxa"/>
            <w:left w:w="0" w:type="dxa"/>
            <w:bottom w:w="0" w:type="dxa"/>
            <w:right w:w="0" w:type="dxa"/>
          </w:tblCellMar>
        </w:tblPrEx>
        <w:trPr>
          <w:trHeight w:val="969"/>
        </w:trPr>
        <w:tc>
          <w:tcPr>
            <w:tcW w:w="10890" w:type="dxa"/>
            <w:tcBorders>
              <w:top w:val="single" w:sz="12" w:space="0" w:color="000000"/>
              <w:bottom w:val="single" w:sz="12" w:space="0" w:color="000000"/>
            </w:tcBorders>
            <w:noWrap w:val="0"/>
            <w:tcMar>
              <w:top w:w="15" w:type="dxa"/>
              <w:left w:w="15" w:type="dxa"/>
              <w:bottom w:w="15" w:type="dxa"/>
              <w:right w:w="15" w:type="dxa"/>
            </w:tcMar>
            <w:vAlign w:val="center"/>
            <w:hideMark/>
          </w:tcPr>
          <w:p>
            <w:pPr>
              <w:widowControl w:val="0"/>
              <w:spacing w:before="81" w:after="0"/>
              <w:ind w:left="110"/>
              <w:rPr>
                <w:b w:val="0"/>
                <w:bCs w:val="0"/>
                <w:i w:val="0"/>
                <w:iCs w:val="0"/>
                <w:smallCaps w:val="0"/>
                <w:color w:val="000000"/>
              </w:rPr>
            </w:pPr>
            <w:r>
              <w:rPr>
                <w:rFonts w:ascii="Arial" w:eastAsia="Arial" w:hAnsi="Arial" w:cs="Arial"/>
                <w:b/>
                <w:bCs/>
                <w:i w:val="0"/>
                <w:iCs w:val="0"/>
                <w:smallCaps w:val="0"/>
                <w:color w:val="000000"/>
              </w:rPr>
              <w:t>SHIP website:</w:t>
            </w:r>
          </w:p>
        </w:tc>
      </w:tr>
      <w:tr>
        <w:tblPrEx>
          <w:tblW w:w="10890" w:type="dxa"/>
          <w:tblInd w:w="105" w:type="dxa"/>
          <w:tblCellMar>
            <w:top w:w="0" w:type="dxa"/>
            <w:left w:w="0" w:type="dxa"/>
            <w:bottom w:w="0" w:type="dxa"/>
            <w:right w:w="0" w:type="dxa"/>
          </w:tblCellMar>
        </w:tblPrEx>
        <w:trPr>
          <w:trHeight w:val="591"/>
        </w:trPr>
        <w:tc>
          <w:tcPr>
            <w:tcW w:w="10890" w:type="dxa"/>
            <w:tcBorders>
              <w:top w:val="single" w:sz="12" w:space="0" w:color="000000"/>
            </w:tcBorders>
            <w:noWrap w:val="0"/>
            <w:tcMar>
              <w:top w:w="15" w:type="dxa"/>
              <w:left w:w="15" w:type="dxa"/>
              <w:bottom w:w="15" w:type="dxa"/>
              <w:right w:w="15" w:type="dxa"/>
            </w:tcMar>
            <w:vAlign w:val="center"/>
            <w:hideMark/>
          </w:tcPr>
          <w:p>
            <w:pPr>
              <w:widowControl w:val="0"/>
              <w:spacing w:before="81" w:after="0" w:line="268" w:lineRule="atLeast"/>
              <w:ind w:left="110"/>
              <w:jc w:val="center"/>
              <w:rPr>
                <w:b w:val="0"/>
                <w:bCs w:val="0"/>
                <w:i w:val="0"/>
                <w:iCs w:val="0"/>
                <w:smallCaps w:val="0"/>
                <w:color w:val="000000"/>
              </w:rPr>
            </w:pPr>
            <w:r>
              <w:rPr>
                <w:rFonts w:ascii="Arial" w:eastAsia="Arial" w:hAnsi="Arial" w:cs="Arial"/>
                <w:b/>
                <w:bCs/>
                <w:i w:val="0"/>
                <w:iCs w:val="0"/>
                <w:smallCaps w:val="0"/>
                <w:color w:val="000000"/>
              </w:rPr>
              <w:t xml:space="preserve">To find a SHIP in another state: </w:t>
            </w:r>
            <w:r>
              <w:rPr>
                <w:rFonts w:ascii="Arial" w:eastAsia="Arial" w:hAnsi="Arial" w:cs="Arial"/>
                <w:b w:val="0"/>
                <w:bCs w:val="0"/>
                <w:i w:val="0"/>
                <w:iCs w:val="0"/>
                <w:smallCaps w:val="0"/>
                <w:color w:val="000000"/>
              </w:rPr>
              <w:t xml:space="preserve">Call 877-839-2675 or visit </w:t>
            </w:r>
            <w:hyperlink r:id="rId5" w:history="1">
              <w:r>
                <w:rPr>
                  <w:rFonts w:ascii="Arial" w:eastAsia="Arial" w:hAnsi="Arial" w:cs="Arial"/>
                  <w:b w:val="0"/>
                  <w:bCs w:val="0"/>
                  <w:i w:val="0"/>
                  <w:iCs w:val="0"/>
                  <w:smallCaps w:val="0"/>
                  <w:color w:val="000000"/>
                </w:rPr>
                <w:t>www.shiptacenter.org</w:t>
              </w:r>
            </w:hyperlink>
          </w:p>
        </w:tc>
      </w:tr>
    </w:tbl>
    <w:p>
      <w:pPr>
        <w:spacing w:before="0" w:after="0" w:line="276" w:lineRule="auto"/>
        <w:rPr>
          <w:rFonts w:ascii="Calibri" w:eastAsia="Calibri" w:hAnsi="Calibri" w:cs="Calibri"/>
          <w:sz w:val="28"/>
          <w:szCs w:val="28"/>
        </w:rPr>
      </w:pPr>
      <w:r>
        <w:rPr>
          <w:rFonts w:ascii="Calibri" w:eastAsia="Calibri" w:hAnsi="Calibri" w:cs="Calibri"/>
          <w:sz w:val="28"/>
          <w:szCs w:val="28"/>
        </w:rPr>
        <w:tab/>
      </w:r>
    </w:p>
    <w:sectPr>
      <w:headerReference w:type="default" r:id="rId6"/>
      <w:footerReference w:type="default" r:id="rId7"/>
      <w:type w:val="nextPage"/>
      <w:pgSz w:w="12240" w:h="15840"/>
      <w:pgMar w:top="531" w:right="720" w:bottom="720" w:left="72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left="540" w:right="810"/>
      <w:jc w:val="center"/>
      <w:rPr>
        <w:sz w:val="17"/>
        <w:szCs w:val="17"/>
      </w:rPr>
    </w:pPr>
    <w:r>
      <w:rPr>
        <w:i/>
        <w:iCs/>
        <w:sz w:val="17"/>
        <w:szCs w:val="17"/>
      </w:rPr>
      <w:t xml:space="preserve">This document </w:t>
    </w:r>
    <w:r>
      <w:rPr>
        <w:i/>
        <w:iCs/>
        <w:sz w:val="17"/>
        <w:szCs w:val="17"/>
      </w:rPr>
      <w:t>was supported, in part, by grant number 90SATC0002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r>
      <w:rPr>
        <w:i/>
        <w:iCs/>
        <w:sz w:val="17"/>
        <w:szCs w:val="17"/>
      </w:rPr>
      <w:t xml:space="preserve"> </w:t>
    </w:r>
    <w:r>
      <w:rPr>
        <w:i/>
        <w:iCs/>
        <w:sz w:val="16"/>
        <w:szCs w:val="16"/>
      </w:rPr>
      <w:t xml:space="preserve"> </w:t>
    </w:r>
    <w:r>
      <w:rPr>
        <w:i/>
        <w:iCs/>
        <w:sz w:val="16"/>
        <w:szCs w:val="16"/>
      </w:rPr>
      <w:t>[January 2021]</w:t>
    </w:r>
  </w:p>
  <w:sdt>
    <w:sdtPr>
      <w:id w:val="2063898022"/>
      <w:placeholder>
        <w:docPart w:val="DefaultPlaceholder_22675703"/>
      </w:placeholder>
      <w:richText/>
    </w:sdtPr>
    <w:sdtContent>
      <w:p>
        <w:pPr>
          <w:spacing w:before="0" w:after="0"/>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3</w:t>
        </w:r>
        <w:r>
          <w:rPr>
            <w:sz w:val="16"/>
            <w:szCs w:val="16"/>
          </w:rPr>
          <w:fldChar w:fldCharType="end"/>
        </w:r>
      </w:p>
      <w:p>
        <w:pPr>
          <w:spacing w:before="0" w:after="0"/>
          <w:jc w:val="center"/>
          <w:rPr>
            <w:sz w:val="16"/>
            <w:szCs w:val="16"/>
          </w:rPr>
        </w:pPr>
      </w:p>
    </w:sdtContent>
  </w:sdt>
  <w:p>
    <w:pPr>
      <w:spacing w:before="0" w:after="0"/>
      <w:rPr>
        <w:sz w:val="16"/>
        <w:szCs w:val="16"/>
      </w:rPr>
    </w:pPr>
  </w:p>
  <w:sdt>
    <w:sdtPr>
      <w:id w:val="1102637715"/>
      <w:placeholder>
        <w:docPart w:val="DefaultPlaceholder_22675703"/>
      </w:placeholder>
      <w:richText/>
    </w:sdtPr>
    <w:sdtContent>
      <w:p>
        <w:pPr>
          <w:spacing w:before="0" w:after="0"/>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spacing w:before="0" w:after="0"/>
          <w:jc w:val="center"/>
          <w:rPr>
            <w:sz w:val="20"/>
            <w:szCs w:val="20"/>
          </w:rPr>
        </w:pPr>
      </w:p>
    </w:sdtContent>
  </w:sdt>
  <w:p>
    <w:pPr>
      <w:rPr>
        <w:sz w:val="24"/>
        <w:szCs w:val="24"/>
      </w:rPr>
    </w:pPr>
    <w:r>
      <w:rPr>
        <w:sz w:val="1"/>
        <w:szCs w:val="1"/>
      </w:rPr>
      <w:br w:type="textWrapping" w:clear="all"/>
    </w:r>
  </w:p>
  <w:p>
    <w:pPr>
      <w:spacing w:before="0" w:after="0"/>
      <w:jc w:val="center"/>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shiptacenter.org/"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1BD94D2-B692-4A03-9771-493DA93BD687}"/>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