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7C11EC" w14:textId="1A85F283" w:rsidR="00F2653F" w:rsidRDefault="00F2653F" w:rsidP="00366A7D">
      <w:r w:rsidRPr="00366A7D">
        <w:t xml:space="preserve"> </w:t>
      </w:r>
    </w:p>
    <w:p w14:paraId="1FB54C7B" w14:textId="0943C9B4" w:rsidR="004C7947" w:rsidRDefault="004C7947" w:rsidP="00366A7D"/>
    <w:p w14:paraId="089DA8A7" w14:textId="235BD33B" w:rsidR="004C7947" w:rsidRDefault="004C7947" w:rsidP="00366A7D"/>
    <w:p w14:paraId="74294F69" w14:textId="39D3FBCE" w:rsidR="00B1208B" w:rsidRDefault="00B1208B" w:rsidP="00B1208B">
      <w:pPr>
        <w:rPr>
          <w:sz w:val="22"/>
          <w:szCs w:val="22"/>
        </w:rPr>
      </w:pPr>
      <w:r>
        <w:rPr>
          <w:b/>
          <w:bCs/>
          <w:sz w:val="28"/>
          <w:szCs w:val="28"/>
        </w:rPr>
        <w:t xml:space="preserve">Recent Changes to Medicaid under the Public Health Emergency </w:t>
      </w:r>
    </w:p>
    <w:p w14:paraId="6FD85292" w14:textId="77777777" w:rsidR="00B1208B" w:rsidRDefault="00B1208B" w:rsidP="00B1208B">
      <w:pPr>
        <w:rPr>
          <w:sz w:val="22"/>
          <w:szCs w:val="22"/>
        </w:rPr>
      </w:pPr>
    </w:p>
    <w:p w14:paraId="58E4ACBD" w14:textId="78076A13" w:rsidR="00B1208B" w:rsidRDefault="00AF371D" w:rsidP="00B1208B">
      <w:pPr>
        <w:rPr>
          <w:sz w:val="22"/>
          <w:szCs w:val="22"/>
        </w:rPr>
      </w:pPr>
      <w:r>
        <w:rPr>
          <w:sz w:val="22"/>
          <w:szCs w:val="22"/>
        </w:rPr>
        <w:t xml:space="preserve">The Centers for Medicare and Medicaid Services (CMS) </w:t>
      </w:r>
      <w:r w:rsidR="00B1208B">
        <w:rPr>
          <w:sz w:val="22"/>
          <w:szCs w:val="22"/>
        </w:rPr>
        <w:t xml:space="preserve">issued new regulations </w:t>
      </w:r>
      <w:r w:rsidR="00281ADA">
        <w:rPr>
          <w:sz w:val="22"/>
          <w:szCs w:val="22"/>
        </w:rPr>
        <w:t xml:space="preserve">that </w:t>
      </w:r>
      <w:r w:rsidR="00B1208B">
        <w:rPr>
          <w:sz w:val="22"/>
          <w:szCs w:val="22"/>
        </w:rPr>
        <w:t>may affect some of your clients enrolled in a Medicaid program.</w:t>
      </w:r>
    </w:p>
    <w:p w14:paraId="57C3B8AF" w14:textId="77777777" w:rsidR="00B1208B" w:rsidRPr="00146279" w:rsidRDefault="00B1208B" w:rsidP="00B1208B">
      <w:pPr>
        <w:rPr>
          <w:sz w:val="22"/>
          <w:szCs w:val="22"/>
        </w:rPr>
      </w:pPr>
    </w:p>
    <w:p w14:paraId="0A90EC3E" w14:textId="47D608C7" w:rsidR="00B1208B" w:rsidRDefault="00B1208B" w:rsidP="00B1208B">
      <w:pPr>
        <w:rPr>
          <w:sz w:val="22"/>
          <w:szCs w:val="22"/>
        </w:rPr>
      </w:pPr>
      <w:r w:rsidRPr="00146279">
        <w:rPr>
          <w:sz w:val="22"/>
          <w:szCs w:val="22"/>
        </w:rPr>
        <w:t>The new rule permits the state to</w:t>
      </w:r>
      <w:r>
        <w:rPr>
          <w:color w:val="B5082E"/>
          <w:sz w:val="22"/>
          <w:szCs w:val="22"/>
        </w:rPr>
        <w:t xml:space="preserve"> </w:t>
      </w:r>
      <w:r>
        <w:rPr>
          <w:sz w:val="22"/>
          <w:szCs w:val="22"/>
        </w:rPr>
        <w:t xml:space="preserve">move individuals currently enrolled in the state’s Medicaid expansion program and who screened eligible for a Medicare Savings Program (including QMB, SLMB, and QI) to the Medicare Savings Program even if the move results in a reduction of benefits. Importantly, the state is </w:t>
      </w:r>
      <w:r>
        <w:rPr>
          <w:b/>
          <w:bCs/>
          <w:sz w:val="22"/>
          <w:szCs w:val="22"/>
        </w:rPr>
        <w:t>not</w:t>
      </w:r>
      <w:r>
        <w:rPr>
          <w:sz w:val="22"/>
          <w:szCs w:val="22"/>
        </w:rPr>
        <w:t xml:space="preserve"> permitted to disenroll individuals enrolled in a state’s Medicaid expansion program, upon turning 65</w:t>
      </w:r>
      <w:r w:rsidR="00A156CA">
        <w:rPr>
          <w:sz w:val="22"/>
          <w:szCs w:val="22"/>
        </w:rPr>
        <w:t>, or becoming e</w:t>
      </w:r>
      <w:r w:rsidR="006D7508">
        <w:rPr>
          <w:sz w:val="22"/>
          <w:szCs w:val="22"/>
        </w:rPr>
        <w:t>ligible for Medicare,</w:t>
      </w:r>
      <w:r>
        <w:rPr>
          <w:sz w:val="22"/>
          <w:szCs w:val="22"/>
        </w:rPr>
        <w:t xml:space="preserve"> if the individual does not screen eligible for the Medicare Savings Program.  </w:t>
      </w:r>
    </w:p>
    <w:p w14:paraId="74C3B1C1" w14:textId="77777777" w:rsidR="00B1208B" w:rsidRDefault="00B1208B" w:rsidP="00B1208B">
      <w:pPr>
        <w:rPr>
          <w:sz w:val="22"/>
          <w:szCs w:val="22"/>
        </w:rPr>
      </w:pPr>
    </w:p>
    <w:p w14:paraId="128731E7" w14:textId="77777777" w:rsidR="00B1208B" w:rsidRPr="00146279" w:rsidRDefault="00B1208B" w:rsidP="00B1208B">
      <w:pPr>
        <w:rPr>
          <w:sz w:val="22"/>
          <w:szCs w:val="22"/>
        </w:rPr>
      </w:pPr>
      <w:r w:rsidRPr="00146279">
        <w:rPr>
          <w:b/>
          <w:bCs/>
          <w:sz w:val="22"/>
          <w:szCs w:val="22"/>
        </w:rPr>
        <w:t xml:space="preserve">Background: </w:t>
      </w:r>
    </w:p>
    <w:p w14:paraId="679216E6" w14:textId="77777777" w:rsidR="00B1208B" w:rsidRDefault="00B1208B" w:rsidP="00B1208B">
      <w:pPr>
        <w:rPr>
          <w:sz w:val="22"/>
          <w:szCs w:val="22"/>
        </w:rPr>
      </w:pPr>
    </w:p>
    <w:p w14:paraId="6A85674B" w14:textId="057D6DEB" w:rsidR="00B1208B" w:rsidRDefault="00B1208B" w:rsidP="00B1208B">
      <w:pPr>
        <w:rPr>
          <w:sz w:val="22"/>
          <w:szCs w:val="22"/>
        </w:rPr>
      </w:pPr>
      <w:r>
        <w:rPr>
          <w:sz w:val="22"/>
          <w:szCs w:val="22"/>
        </w:rPr>
        <w:t xml:space="preserve">Earlier this year, states were provided additional Medicaid funds </w:t>
      </w:r>
      <w:bookmarkStart w:id="0" w:name="_Hlk59002841"/>
      <w:r>
        <w:rPr>
          <w:sz w:val="22"/>
          <w:szCs w:val="22"/>
        </w:rPr>
        <w:t xml:space="preserve">from </w:t>
      </w:r>
      <w:r w:rsidR="00AF371D">
        <w:rPr>
          <w:sz w:val="22"/>
          <w:szCs w:val="22"/>
        </w:rPr>
        <w:t xml:space="preserve">CMS </w:t>
      </w:r>
      <w:bookmarkEnd w:id="0"/>
      <w:r>
        <w:rPr>
          <w:sz w:val="22"/>
          <w:szCs w:val="22"/>
        </w:rPr>
        <w:t xml:space="preserve">if the states complied with certain requirements. One such requirement includes continuing Medicaid </w:t>
      </w:r>
      <w:r w:rsidRPr="00B60CBD">
        <w:rPr>
          <w:sz w:val="22"/>
          <w:szCs w:val="22"/>
        </w:rPr>
        <w:t xml:space="preserve">coverage for individuals </w:t>
      </w:r>
      <w:r w:rsidR="00B60CBD" w:rsidRPr="00B60CBD">
        <w:rPr>
          <w:sz w:val="22"/>
          <w:szCs w:val="22"/>
        </w:rPr>
        <w:t xml:space="preserve">who </w:t>
      </w:r>
      <w:r w:rsidRPr="00B60CBD">
        <w:rPr>
          <w:sz w:val="22"/>
          <w:szCs w:val="22"/>
        </w:rPr>
        <w:t xml:space="preserve">are already enrolled, or became enrolled, in Medicaid as of the beginning </w:t>
      </w:r>
      <w:r>
        <w:rPr>
          <w:sz w:val="22"/>
          <w:szCs w:val="22"/>
        </w:rPr>
        <w:t>of the Public Health Emergency. This is also referred to as Maintenance of Effort.</w:t>
      </w:r>
    </w:p>
    <w:p w14:paraId="0336674D" w14:textId="77777777" w:rsidR="00B1208B" w:rsidRDefault="00B1208B" w:rsidP="00B1208B">
      <w:pPr>
        <w:rPr>
          <w:sz w:val="22"/>
          <w:szCs w:val="22"/>
        </w:rPr>
      </w:pPr>
    </w:p>
    <w:p w14:paraId="5925A141" w14:textId="3591483F" w:rsidR="00B1208B" w:rsidRDefault="00B1208B" w:rsidP="00B1208B">
      <w:pPr>
        <w:rPr>
          <w:sz w:val="22"/>
          <w:szCs w:val="22"/>
        </w:rPr>
      </w:pPr>
      <w:r>
        <w:rPr>
          <w:sz w:val="22"/>
          <w:szCs w:val="22"/>
        </w:rPr>
        <w:t xml:space="preserve">On </w:t>
      </w:r>
      <w:r w:rsidR="00D10AE3">
        <w:rPr>
          <w:sz w:val="22"/>
          <w:szCs w:val="22"/>
        </w:rPr>
        <w:t>November 6</w:t>
      </w:r>
      <w:r>
        <w:rPr>
          <w:sz w:val="22"/>
          <w:szCs w:val="22"/>
        </w:rPr>
        <w:t>, 2020, CMS published a new regulation (an Interim Final Rule</w:t>
      </w:r>
      <w:r w:rsidR="006D7508">
        <w:rPr>
          <w:sz w:val="22"/>
          <w:szCs w:val="22"/>
        </w:rPr>
        <w:t xml:space="preserve"> with Comment</w:t>
      </w:r>
      <w:r w:rsidR="002D1A03">
        <w:rPr>
          <w:sz w:val="22"/>
          <w:szCs w:val="22"/>
        </w:rPr>
        <w:t xml:space="preserve"> Period</w:t>
      </w:r>
      <w:r>
        <w:rPr>
          <w:sz w:val="22"/>
          <w:szCs w:val="22"/>
        </w:rPr>
        <w:t xml:space="preserve"> or IFR) which allows states to change which Medicaid program individuals are enrolled in, with some limitations. </w:t>
      </w:r>
      <w:r>
        <w:rPr>
          <w:b/>
          <w:bCs/>
          <w:sz w:val="22"/>
          <w:szCs w:val="22"/>
        </w:rPr>
        <w:t>This change went into effect on November 2, 2020 and continues until the end of the Public Health Emergency.</w:t>
      </w:r>
    </w:p>
    <w:p w14:paraId="13A821DF" w14:textId="77777777" w:rsidR="00B1208B" w:rsidRDefault="00B1208B" w:rsidP="00B1208B">
      <w:pPr>
        <w:rPr>
          <w:sz w:val="22"/>
          <w:szCs w:val="22"/>
        </w:rPr>
      </w:pPr>
    </w:p>
    <w:p w14:paraId="342817AB" w14:textId="08572587" w:rsidR="00B1208B" w:rsidRDefault="00B1208B" w:rsidP="00B1208B">
      <w:pPr>
        <w:rPr>
          <w:sz w:val="22"/>
          <w:szCs w:val="22"/>
        </w:rPr>
      </w:pPr>
      <w:r>
        <w:rPr>
          <w:sz w:val="22"/>
          <w:szCs w:val="22"/>
        </w:rPr>
        <w:t>The new rule provides for three “tiers” of Medicaid coverage. A single tier can be made up of several different assistance programs</w:t>
      </w:r>
      <w:r w:rsidR="00730565">
        <w:rPr>
          <w:sz w:val="22"/>
          <w:szCs w:val="22"/>
        </w:rPr>
        <w:t xml:space="preserve">. </w:t>
      </w:r>
      <w:r w:rsidR="00B07165">
        <w:rPr>
          <w:sz w:val="22"/>
          <w:szCs w:val="22"/>
        </w:rPr>
        <w:t>For Tier 1 and Tier 2 coverage</w:t>
      </w:r>
      <w:r>
        <w:rPr>
          <w:sz w:val="22"/>
          <w:szCs w:val="22"/>
        </w:rPr>
        <w:t xml:space="preserve">, </w:t>
      </w:r>
      <w:r>
        <w:rPr>
          <w:b/>
          <w:bCs/>
          <w:sz w:val="22"/>
          <w:szCs w:val="22"/>
        </w:rPr>
        <w:t xml:space="preserve">states are permitted to move beneficiaries (that meet the eligibility requirements) from one program to another </w:t>
      </w:r>
      <w:r w:rsidRPr="003C250E">
        <w:rPr>
          <w:b/>
          <w:bCs/>
          <w:sz w:val="22"/>
          <w:szCs w:val="22"/>
        </w:rPr>
        <w:t xml:space="preserve">if </w:t>
      </w:r>
      <w:r>
        <w:rPr>
          <w:b/>
          <w:bCs/>
          <w:sz w:val="22"/>
          <w:szCs w:val="22"/>
        </w:rPr>
        <w:t>both programs are within the same tier</w:t>
      </w:r>
      <w:r>
        <w:rPr>
          <w:sz w:val="22"/>
          <w:szCs w:val="22"/>
        </w:rPr>
        <w:t xml:space="preserve">.  </w:t>
      </w:r>
    </w:p>
    <w:p w14:paraId="0120C2AF" w14:textId="77777777" w:rsidR="00B1208B" w:rsidRDefault="00B1208B" w:rsidP="00B1208B">
      <w:pPr>
        <w:rPr>
          <w:sz w:val="22"/>
          <w:szCs w:val="22"/>
        </w:rPr>
      </w:pPr>
    </w:p>
    <w:p w14:paraId="60D95298" w14:textId="77777777" w:rsidR="00B1208B" w:rsidRDefault="00B1208B" w:rsidP="00B1208B">
      <w:pPr>
        <w:rPr>
          <w:sz w:val="22"/>
          <w:szCs w:val="22"/>
        </w:rPr>
      </w:pPr>
      <w:r>
        <w:rPr>
          <w:b/>
          <w:bCs/>
          <w:i/>
          <w:iCs/>
          <w:sz w:val="22"/>
          <w:szCs w:val="22"/>
        </w:rPr>
        <w:t>Medicaid Coverage Tiers</w:t>
      </w:r>
    </w:p>
    <w:p w14:paraId="0C4272B5" w14:textId="77777777" w:rsidR="00B1208B" w:rsidRDefault="00B1208B" w:rsidP="00B1208B">
      <w:pPr>
        <w:rPr>
          <w:sz w:val="22"/>
          <w:szCs w:val="22"/>
        </w:rPr>
      </w:pPr>
      <w:r>
        <w:rPr>
          <w:sz w:val="22"/>
          <w:szCs w:val="22"/>
        </w:rPr>
        <w:t xml:space="preserve">Tier 1 is Medicaid coverage with minimum essential coverage (MEC).  </w:t>
      </w:r>
      <w:r>
        <w:rPr>
          <w:b/>
          <w:bCs/>
          <w:sz w:val="22"/>
          <w:szCs w:val="22"/>
        </w:rPr>
        <w:t>Most older adults and people with disabilities are receiving their Medicaid from these programs.</w:t>
      </w:r>
    </w:p>
    <w:p w14:paraId="6C372E64" w14:textId="77777777" w:rsidR="00B1208B" w:rsidRDefault="00B1208B" w:rsidP="00B1208B">
      <w:pPr>
        <w:rPr>
          <w:sz w:val="22"/>
          <w:szCs w:val="22"/>
        </w:rPr>
      </w:pPr>
    </w:p>
    <w:p w14:paraId="1BFBABB7" w14:textId="77777777" w:rsidR="00B1208B" w:rsidRDefault="00B1208B" w:rsidP="00B1208B">
      <w:pPr>
        <w:rPr>
          <w:sz w:val="22"/>
          <w:szCs w:val="22"/>
        </w:rPr>
      </w:pPr>
      <w:r>
        <w:rPr>
          <w:b/>
          <w:bCs/>
          <w:i/>
          <w:iCs/>
          <w:sz w:val="22"/>
          <w:szCs w:val="22"/>
        </w:rPr>
        <w:t>Tier 1</w:t>
      </w:r>
      <w:r>
        <w:rPr>
          <w:sz w:val="22"/>
          <w:szCs w:val="22"/>
        </w:rPr>
        <w:t xml:space="preserve"> includes the following programs: </w:t>
      </w:r>
    </w:p>
    <w:p w14:paraId="20F748D9" w14:textId="77777777" w:rsidR="00B1208B" w:rsidRDefault="00B1208B" w:rsidP="00B1208B">
      <w:pPr>
        <w:numPr>
          <w:ilvl w:val="0"/>
          <w:numId w:val="2"/>
        </w:numPr>
        <w:pBdr>
          <w:left w:val="none" w:sz="0" w:space="11" w:color="auto"/>
        </w:pBdr>
        <w:spacing w:line="259" w:lineRule="auto"/>
        <w:ind w:hanging="500"/>
        <w:rPr>
          <w:rFonts w:ascii="Times New Roman" w:eastAsia="Times New Roman" w:hAnsi="Times New Roman" w:cs="Times New Roman"/>
          <w:sz w:val="22"/>
          <w:szCs w:val="22"/>
        </w:rPr>
      </w:pPr>
      <w:r>
        <w:rPr>
          <w:sz w:val="22"/>
          <w:szCs w:val="22"/>
        </w:rPr>
        <w:t xml:space="preserve">Medicaid expansion (for individuals under 65) </w:t>
      </w:r>
    </w:p>
    <w:p w14:paraId="49B27D9B" w14:textId="77777777" w:rsidR="00B1208B" w:rsidRDefault="00B1208B" w:rsidP="00B1208B">
      <w:pPr>
        <w:numPr>
          <w:ilvl w:val="0"/>
          <w:numId w:val="2"/>
        </w:numPr>
        <w:pBdr>
          <w:left w:val="none" w:sz="0" w:space="11" w:color="auto"/>
        </w:pBdr>
        <w:spacing w:line="259" w:lineRule="auto"/>
        <w:ind w:hanging="500"/>
        <w:rPr>
          <w:rFonts w:ascii="Times New Roman" w:eastAsia="Times New Roman" w:hAnsi="Times New Roman" w:cs="Times New Roman"/>
          <w:sz w:val="22"/>
          <w:szCs w:val="22"/>
        </w:rPr>
      </w:pPr>
      <w:r>
        <w:rPr>
          <w:sz w:val="22"/>
          <w:szCs w:val="22"/>
        </w:rPr>
        <w:t>Age, blind and disabled (ABD) and</w:t>
      </w:r>
    </w:p>
    <w:p w14:paraId="5F8975CE" w14:textId="77777777" w:rsidR="00B1208B" w:rsidRDefault="00B1208B" w:rsidP="00B1208B">
      <w:pPr>
        <w:numPr>
          <w:ilvl w:val="0"/>
          <w:numId w:val="2"/>
        </w:numPr>
        <w:pBdr>
          <w:left w:val="none" w:sz="0" w:space="11" w:color="auto"/>
        </w:pBdr>
        <w:spacing w:line="259" w:lineRule="auto"/>
        <w:ind w:hanging="500"/>
        <w:rPr>
          <w:rFonts w:ascii="Times New Roman" w:eastAsia="Times New Roman" w:hAnsi="Times New Roman" w:cs="Times New Roman"/>
          <w:sz w:val="22"/>
          <w:szCs w:val="22"/>
        </w:rPr>
      </w:pPr>
      <w:r>
        <w:rPr>
          <w:sz w:val="22"/>
          <w:szCs w:val="22"/>
        </w:rPr>
        <w:t xml:space="preserve">Medicare Savings Programs (QMB, SLMB QI).   </w:t>
      </w:r>
    </w:p>
    <w:p w14:paraId="37793927" w14:textId="77777777" w:rsidR="00B1208B" w:rsidRDefault="00B1208B" w:rsidP="00B1208B">
      <w:pPr>
        <w:rPr>
          <w:sz w:val="22"/>
          <w:szCs w:val="22"/>
        </w:rPr>
      </w:pPr>
    </w:p>
    <w:p w14:paraId="4092546D" w14:textId="0BAE2836" w:rsidR="00B1208B" w:rsidRDefault="00B1208B" w:rsidP="00B1208B">
      <w:pPr>
        <w:rPr>
          <w:sz w:val="22"/>
          <w:szCs w:val="22"/>
        </w:rPr>
      </w:pPr>
      <w:r>
        <w:rPr>
          <w:sz w:val="22"/>
          <w:szCs w:val="22"/>
        </w:rPr>
        <w:t>For example, an individual</w:t>
      </w:r>
      <w:r w:rsidR="00730565">
        <w:rPr>
          <w:sz w:val="22"/>
          <w:szCs w:val="22"/>
        </w:rPr>
        <w:t xml:space="preserve"> </w:t>
      </w:r>
      <w:r>
        <w:rPr>
          <w:sz w:val="22"/>
          <w:szCs w:val="22"/>
        </w:rPr>
        <w:t>enrolled in Medicaid expansion may be moved to a Medicare Savings Program</w:t>
      </w:r>
      <w:r w:rsidR="00D97EFE">
        <w:rPr>
          <w:sz w:val="22"/>
          <w:szCs w:val="22"/>
        </w:rPr>
        <w:t xml:space="preserve"> (QMB, SLMB or QI)</w:t>
      </w:r>
      <w:r>
        <w:rPr>
          <w:sz w:val="22"/>
          <w:szCs w:val="22"/>
        </w:rPr>
        <w:t xml:space="preserve"> when the individual enrolls in Medicare.</w:t>
      </w:r>
      <w:r w:rsidR="00D97EFE">
        <w:rPr>
          <w:sz w:val="22"/>
          <w:szCs w:val="22"/>
        </w:rPr>
        <w:t xml:space="preserve"> This </w:t>
      </w:r>
      <w:r w:rsidR="0054781E">
        <w:rPr>
          <w:sz w:val="22"/>
          <w:szCs w:val="22"/>
        </w:rPr>
        <w:t>change is allowed because the individual remains in a program with</w:t>
      </w:r>
      <w:r w:rsidR="00F461F7">
        <w:rPr>
          <w:sz w:val="22"/>
          <w:szCs w:val="22"/>
        </w:rPr>
        <w:t xml:space="preserve">in </w:t>
      </w:r>
      <w:r w:rsidR="0054781E">
        <w:rPr>
          <w:sz w:val="22"/>
          <w:szCs w:val="22"/>
        </w:rPr>
        <w:t xml:space="preserve">Tier 1 </w:t>
      </w:r>
      <w:r w:rsidR="00F461F7">
        <w:rPr>
          <w:sz w:val="22"/>
          <w:szCs w:val="22"/>
        </w:rPr>
        <w:t>of Medicaid coverage.</w:t>
      </w:r>
    </w:p>
    <w:p w14:paraId="48BDA979" w14:textId="77777777" w:rsidR="00B1208B" w:rsidRDefault="00B1208B" w:rsidP="00B1208B">
      <w:pPr>
        <w:rPr>
          <w:sz w:val="22"/>
          <w:szCs w:val="22"/>
        </w:rPr>
      </w:pPr>
    </w:p>
    <w:p w14:paraId="2F1B5290" w14:textId="4F7D43D7" w:rsidR="00B1208B" w:rsidRDefault="00B1208B" w:rsidP="00B1208B">
      <w:pPr>
        <w:rPr>
          <w:sz w:val="22"/>
          <w:szCs w:val="22"/>
        </w:rPr>
      </w:pPr>
      <w:r>
        <w:rPr>
          <w:b/>
          <w:bCs/>
          <w:i/>
          <w:iCs/>
          <w:sz w:val="22"/>
          <w:szCs w:val="22"/>
        </w:rPr>
        <w:t>Tier 2</w:t>
      </w:r>
      <w:r>
        <w:rPr>
          <w:sz w:val="22"/>
          <w:szCs w:val="22"/>
        </w:rPr>
        <w:t xml:space="preserve"> is Medicaid coverage that is not defined as MEC but is broad enough to provide access to coverage for both COVID-19 testing and treatment. Pregnant or postpartum women in some states </w:t>
      </w:r>
      <w:r w:rsidR="00281ADA">
        <w:rPr>
          <w:sz w:val="22"/>
          <w:szCs w:val="22"/>
        </w:rPr>
        <w:t>are</w:t>
      </w:r>
      <w:r>
        <w:rPr>
          <w:sz w:val="22"/>
          <w:szCs w:val="22"/>
        </w:rPr>
        <w:t xml:space="preserve"> an example of Tier 2 eligibility group. </w:t>
      </w:r>
    </w:p>
    <w:p w14:paraId="463B1C5A" w14:textId="77777777" w:rsidR="00B1208B" w:rsidRDefault="00B1208B" w:rsidP="00B1208B">
      <w:pPr>
        <w:rPr>
          <w:sz w:val="22"/>
          <w:szCs w:val="22"/>
        </w:rPr>
      </w:pPr>
    </w:p>
    <w:p w14:paraId="64BB91D1" w14:textId="77777777" w:rsidR="00B1208B" w:rsidRDefault="00B1208B" w:rsidP="00B1208B">
      <w:pPr>
        <w:rPr>
          <w:sz w:val="22"/>
          <w:szCs w:val="22"/>
        </w:rPr>
      </w:pPr>
      <w:r>
        <w:rPr>
          <w:b/>
          <w:bCs/>
          <w:i/>
          <w:iCs/>
          <w:sz w:val="22"/>
          <w:szCs w:val="22"/>
        </w:rPr>
        <w:lastRenderedPageBreak/>
        <w:t>Tier 3</w:t>
      </w:r>
      <w:r>
        <w:rPr>
          <w:sz w:val="22"/>
          <w:szCs w:val="22"/>
        </w:rPr>
        <w:t xml:space="preserve"> is coverage that is not MEC and does not cover COVID-19 testing or treatment. Individuals that receive coverage for tuberculosis-related</w:t>
      </w:r>
      <w:r>
        <w:rPr>
          <w:color w:val="B5082E"/>
          <w:sz w:val="22"/>
          <w:szCs w:val="22"/>
        </w:rPr>
        <w:t xml:space="preserve"> </w:t>
      </w:r>
      <w:r w:rsidRPr="006108C5">
        <w:rPr>
          <w:sz w:val="22"/>
          <w:szCs w:val="22"/>
        </w:rPr>
        <w:t xml:space="preserve">services is </w:t>
      </w:r>
      <w:r>
        <w:rPr>
          <w:sz w:val="22"/>
          <w:szCs w:val="22"/>
        </w:rPr>
        <w:t>an example of a Tier 3 eligibility group</w:t>
      </w:r>
      <w:r>
        <w:rPr>
          <w:color w:val="B5082E"/>
          <w:sz w:val="22"/>
          <w:szCs w:val="22"/>
        </w:rPr>
        <w:t>.</w:t>
      </w:r>
      <w:r>
        <w:rPr>
          <w:sz w:val="22"/>
          <w:szCs w:val="22"/>
        </w:rPr>
        <w:t xml:space="preserve"> States may not move a beneficiary from one Tier 3 group to another Tier 3 group.</w:t>
      </w:r>
    </w:p>
    <w:p w14:paraId="0AD5F910" w14:textId="77777777" w:rsidR="00B1208B" w:rsidRDefault="00B1208B" w:rsidP="00B1208B">
      <w:pPr>
        <w:rPr>
          <w:sz w:val="22"/>
          <w:szCs w:val="22"/>
        </w:rPr>
      </w:pPr>
    </w:p>
    <w:p w14:paraId="6F8CB9A3" w14:textId="77777777" w:rsidR="00B1208B" w:rsidRDefault="00B1208B" w:rsidP="00B1208B">
      <w:pPr>
        <w:rPr>
          <w:sz w:val="22"/>
          <w:szCs w:val="22"/>
        </w:rPr>
      </w:pPr>
      <w:r>
        <w:rPr>
          <w:b/>
          <w:bCs/>
          <w:sz w:val="22"/>
          <w:szCs w:val="22"/>
        </w:rPr>
        <w:t>How this affects your clients turning 65 and/or enrolling in Medicare</w:t>
      </w:r>
    </w:p>
    <w:p w14:paraId="04BA9ED3" w14:textId="77777777" w:rsidR="00B1208B" w:rsidRDefault="00B1208B" w:rsidP="00B1208B">
      <w:pPr>
        <w:rPr>
          <w:sz w:val="22"/>
          <w:szCs w:val="22"/>
        </w:rPr>
      </w:pPr>
    </w:p>
    <w:p w14:paraId="066BBAD4" w14:textId="77777777" w:rsidR="00B1208B" w:rsidRDefault="00B1208B" w:rsidP="00B1208B">
      <w:pPr>
        <w:rPr>
          <w:sz w:val="22"/>
          <w:szCs w:val="22"/>
        </w:rPr>
      </w:pPr>
      <w:r>
        <w:rPr>
          <w:sz w:val="22"/>
          <w:szCs w:val="22"/>
        </w:rPr>
        <w:t xml:space="preserve">Under this new rule, the state is permitted to move individuals currently enrolled in the state’s Medicaid expansion program and who screened eligible for a Medicare Savings Program (including QMB, SLMB, and QI) to the Medicare Savings Program even if the move results in a reduction of benefits. Importantly, the state is </w:t>
      </w:r>
      <w:r>
        <w:rPr>
          <w:b/>
          <w:bCs/>
          <w:sz w:val="22"/>
          <w:szCs w:val="22"/>
        </w:rPr>
        <w:t>not</w:t>
      </w:r>
      <w:r>
        <w:rPr>
          <w:sz w:val="22"/>
          <w:szCs w:val="22"/>
        </w:rPr>
        <w:t xml:space="preserve"> permitted to disenroll individuals enrolled in a state’s Medicaid expansion program, upon turning 65 if the individual does not screen eligible for the Medicare Savings Program.  </w:t>
      </w:r>
    </w:p>
    <w:p w14:paraId="6DEB1700" w14:textId="77777777" w:rsidR="00B1208B" w:rsidRDefault="00B1208B" w:rsidP="00B1208B">
      <w:pPr>
        <w:rPr>
          <w:sz w:val="22"/>
          <w:szCs w:val="22"/>
        </w:rPr>
      </w:pPr>
    </w:p>
    <w:p w14:paraId="6EDE5FD8" w14:textId="77777777" w:rsidR="00B1208B" w:rsidRDefault="00B1208B" w:rsidP="00B1208B">
      <w:pPr>
        <w:rPr>
          <w:sz w:val="22"/>
          <w:szCs w:val="22"/>
        </w:rPr>
      </w:pPr>
      <w:r>
        <w:rPr>
          <w:b/>
          <w:bCs/>
          <w:sz w:val="22"/>
          <w:szCs w:val="22"/>
        </w:rPr>
        <w:t>Future Action</w:t>
      </w:r>
    </w:p>
    <w:p w14:paraId="640FE39E" w14:textId="77777777" w:rsidR="00B1208B" w:rsidRDefault="00B1208B" w:rsidP="00B1208B">
      <w:r>
        <w:rPr>
          <w:sz w:val="22"/>
          <w:szCs w:val="22"/>
        </w:rPr>
        <w:t xml:space="preserve">CMS is accepting public comments on the Interim Final Rule until January 4, 2021.  CMS is required to take into consideration all comments received when revising the rule. Information on how to submit comments to CMS can be found here. </w:t>
      </w:r>
      <w:hyperlink r:id="rId11" w:history="1">
        <w:r>
          <w:rPr>
            <w:color w:val="0000FF"/>
            <w:sz w:val="22"/>
            <w:szCs w:val="22"/>
            <w:u w:val="single" w:color="0000FF"/>
          </w:rPr>
          <w:t>https://www.govinfo.gov/content/pkg/FR-2020-11-06/pdf/2020-24332.pdf</w:t>
        </w:r>
      </w:hyperlink>
    </w:p>
    <w:p w14:paraId="509C11DE" w14:textId="77777777" w:rsidR="00B1208B" w:rsidRDefault="00B1208B" w:rsidP="00B1208B">
      <w:pPr>
        <w:rPr>
          <w:sz w:val="22"/>
          <w:szCs w:val="22"/>
        </w:rPr>
      </w:pPr>
    </w:p>
    <w:p w14:paraId="07959320" w14:textId="77777777" w:rsidR="00B1208B" w:rsidRDefault="00B1208B" w:rsidP="00B1208B">
      <w:r>
        <w:rPr>
          <w:sz w:val="22"/>
          <w:szCs w:val="22"/>
        </w:rPr>
        <w:t xml:space="preserve">If you have questions, please contact Leslie Fried at </w:t>
      </w:r>
      <w:hyperlink r:id="rId12" w:history="1">
        <w:r>
          <w:rPr>
            <w:color w:val="0000FF"/>
            <w:sz w:val="22"/>
            <w:szCs w:val="22"/>
            <w:u w:val="single" w:color="0000FF"/>
          </w:rPr>
          <w:t>Leslie.Fried@ncoa.org</w:t>
        </w:r>
      </w:hyperlink>
      <w:r>
        <w:rPr>
          <w:sz w:val="22"/>
          <w:szCs w:val="22"/>
        </w:rPr>
        <w:t xml:space="preserve"> or Ann Kayrish at </w:t>
      </w:r>
      <w:hyperlink r:id="rId13" w:history="1">
        <w:r>
          <w:rPr>
            <w:color w:val="0000FF"/>
            <w:sz w:val="22"/>
            <w:szCs w:val="22"/>
            <w:u w:val="single" w:color="0000FF"/>
          </w:rPr>
          <w:t>Ann.Kayrish@ncoa.org</w:t>
        </w:r>
      </w:hyperlink>
      <w:r>
        <w:rPr>
          <w:color w:val="B5082E"/>
          <w:sz w:val="22"/>
          <w:szCs w:val="22"/>
          <w:u w:val="single" w:color="B5082E"/>
        </w:rPr>
        <w:t>.</w:t>
      </w:r>
    </w:p>
    <w:p w14:paraId="1039EFEB" w14:textId="77777777" w:rsidR="00B1208B" w:rsidRDefault="00B1208B" w:rsidP="00B1208B">
      <w:pPr>
        <w:rPr>
          <w:sz w:val="22"/>
          <w:szCs w:val="22"/>
        </w:rPr>
      </w:pPr>
    </w:p>
    <w:p w14:paraId="19B5D42E" w14:textId="77777777" w:rsidR="00B1208B" w:rsidRDefault="00B1208B" w:rsidP="00B1208B">
      <w:pPr>
        <w:rPr>
          <w:sz w:val="22"/>
          <w:szCs w:val="22"/>
        </w:rPr>
      </w:pPr>
    </w:p>
    <w:p w14:paraId="6F9998F6" w14:textId="77777777" w:rsidR="00B1208B" w:rsidRDefault="00B1208B" w:rsidP="00B1208B">
      <w:pPr>
        <w:rPr>
          <w:sz w:val="22"/>
          <w:szCs w:val="22"/>
        </w:rPr>
      </w:pPr>
    </w:p>
    <w:p w14:paraId="728E14AB" w14:textId="77777777" w:rsidR="00B1208B" w:rsidRDefault="00B1208B" w:rsidP="00B1208B">
      <w:pPr>
        <w:rPr>
          <w:sz w:val="22"/>
          <w:szCs w:val="22"/>
        </w:rPr>
      </w:pPr>
    </w:p>
    <w:p w14:paraId="4FBBD556" w14:textId="77777777" w:rsidR="00B1208B" w:rsidRDefault="00B1208B" w:rsidP="00B1208B">
      <w:pPr>
        <w:rPr>
          <w:sz w:val="22"/>
          <w:szCs w:val="22"/>
        </w:rPr>
      </w:pPr>
    </w:p>
    <w:p w14:paraId="73F42FC3" w14:textId="77777777" w:rsidR="00B1208B" w:rsidRDefault="00B1208B" w:rsidP="00B1208B">
      <w:pPr>
        <w:rPr>
          <w:sz w:val="22"/>
          <w:szCs w:val="22"/>
        </w:rPr>
      </w:pPr>
    </w:p>
    <w:p w14:paraId="79D93EC7" w14:textId="77777777" w:rsidR="00B1208B" w:rsidRDefault="00B1208B" w:rsidP="00B1208B">
      <w:pPr>
        <w:rPr>
          <w:sz w:val="22"/>
          <w:szCs w:val="22"/>
        </w:rPr>
      </w:pPr>
    </w:p>
    <w:p w14:paraId="1E4A4AB6" w14:textId="77777777" w:rsidR="00B1208B" w:rsidRDefault="00B1208B" w:rsidP="00B1208B">
      <w:pPr>
        <w:rPr>
          <w:sz w:val="22"/>
          <w:szCs w:val="22"/>
        </w:rPr>
      </w:pPr>
    </w:p>
    <w:p w14:paraId="2320E9AE" w14:textId="77777777" w:rsidR="00B1208B" w:rsidRDefault="00B1208B" w:rsidP="00B1208B">
      <w:pPr>
        <w:rPr>
          <w:sz w:val="22"/>
          <w:szCs w:val="22"/>
        </w:rPr>
      </w:pPr>
    </w:p>
    <w:p w14:paraId="40B18F94" w14:textId="77777777" w:rsidR="00B1208B" w:rsidRDefault="00B1208B" w:rsidP="00B1208B">
      <w:pPr>
        <w:rPr>
          <w:sz w:val="22"/>
          <w:szCs w:val="22"/>
        </w:rPr>
      </w:pPr>
    </w:p>
    <w:p w14:paraId="76DDF2A9" w14:textId="77777777" w:rsidR="00B1208B" w:rsidRDefault="00B1208B" w:rsidP="00B1208B">
      <w:pPr>
        <w:rPr>
          <w:sz w:val="22"/>
          <w:szCs w:val="22"/>
        </w:rPr>
      </w:pPr>
    </w:p>
    <w:p w14:paraId="3BB32BB1" w14:textId="77777777" w:rsidR="00B1208B" w:rsidRDefault="00B1208B" w:rsidP="00B1208B">
      <w:pPr>
        <w:rPr>
          <w:sz w:val="22"/>
          <w:szCs w:val="22"/>
        </w:rPr>
      </w:pPr>
    </w:p>
    <w:p w14:paraId="639FE729" w14:textId="77777777" w:rsidR="00B1208B" w:rsidRDefault="00B1208B" w:rsidP="00B1208B">
      <w:pPr>
        <w:rPr>
          <w:sz w:val="22"/>
          <w:szCs w:val="22"/>
        </w:rPr>
      </w:pPr>
    </w:p>
    <w:p w14:paraId="08740323" w14:textId="77777777" w:rsidR="00B1208B" w:rsidRDefault="00B1208B" w:rsidP="00B1208B">
      <w:pPr>
        <w:rPr>
          <w:sz w:val="22"/>
          <w:szCs w:val="22"/>
        </w:rPr>
      </w:pPr>
    </w:p>
    <w:p w14:paraId="65A91720" w14:textId="77777777" w:rsidR="00B1208B" w:rsidRDefault="00B1208B" w:rsidP="00B1208B">
      <w:pPr>
        <w:rPr>
          <w:sz w:val="22"/>
          <w:szCs w:val="22"/>
        </w:rPr>
      </w:pPr>
    </w:p>
    <w:p w14:paraId="22E9166C" w14:textId="77777777" w:rsidR="00B1208B" w:rsidRDefault="00B1208B" w:rsidP="00B1208B">
      <w:pPr>
        <w:rPr>
          <w:sz w:val="22"/>
          <w:szCs w:val="22"/>
        </w:rPr>
      </w:pPr>
    </w:p>
    <w:p w14:paraId="630DE102" w14:textId="77777777" w:rsidR="00B1208B" w:rsidRDefault="00B1208B" w:rsidP="00B1208B">
      <w:pPr>
        <w:rPr>
          <w:sz w:val="22"/>
          <w:szCs w:val="22"/>
        </w:rPr>
      </w:pPr>
    </w:p>
    <w:p w14:paraId="267DF746" w14:textId="77777777" w:rsidR="00B1208B" w:rsidRDefault="00B1208B" w:rsidP="00B1208B">
      <w:pPr>
        <w:rPr>
          <w:sz w:val="22"/>
          <w:szCs w:val="22"/>
        </w:rPr>
      </w:pPr>
    </w:p>
    <w:p w14:paraId="44ED761C" w14:textId="77777777" w:rsidR="009D2F44" w:rsidRDefault="009D2F44" w:rsidP="00B1208B">
      <w:pPr>
        <w:rPr>
          <w:sz w:val="22"/>
          <w:szCs w:val="22"/>
        </w:rPr>
      </w:pPr>
    </w:p>
    <w:p w14:paraId="6BE38C6A" w14:textId="77777777" w:rsidR="007B3AF7" w:rsidRDefault="007B3AF7" w:rsidP="00B1208B">
      <w:pPr>
        <w:rPr>
          <w:sz w:val="22"/>
          <w:szCs w:val="22"/>
        </w:rPr>
      </w:pPr>
    </w:p>
    <w:p w14:paraId="6296A78F" w14:textId="77777777" w:rsidR="007B3AF7" w:rsidRDefault="007B3AF7" w:rsidP="00B1208B">
      <w:pPr>
        <w:rPr>
          <w:sz w:val="22"/>
          <w:szCs w:val="22"/>
        </w:rPr>
      </w:pPr>
    </w:p>
    <w:p w14:paraId="4BADF3A9" w14:textId="77777777" w:rsidR="007B3AF7" w:rsidRDefault="007B3AF7" w:rsidP="00B1208B">
      <w:pPr>
        <w:rPr>
          <w:sz w:val="22"/>
          <w:szCs w:val="22"/>
        </w:rPr>
      </w:pPr>
    </w:p>
    <w:p w14:paraId="49840156" w14:textId="6B697F19" w:rsidR="00B1208B" w:rsidRDefault="00B1208B" w:rsidP="00B1208B">
      <w:pPr>
        <w:rPr>
          <w:sz w:val="22"/>
          <w:szCs w:val="22"/>
        </w:rPr>
      </w:pPr>
      <w:r>
        <w:rPr>
          <w:sz w:val="22"/>
          <w:szCs w:val="22"/>
        </w:rPr>
        <w:t>This resource was supported in part by grant 90MINC0002-01-02 from the U.S. Administration for Community Living, Department of Health and Human Services. Points of view or opinions do not necessarily represent official ACL policy</w:t>
      </w:r>
    </w:p>
    <w:p w14:paraId="14C339A1" w14:textId="3BDF84E0" w:rsidR="004C7947" w:rsidRDefault="004C7947" w:rsidP="00366A7D">
      <w:pPr>
        <w:rPr>
          <w:sz w:val="22"/>
          <w:szCs w:val="22"/>
        </w:rPr>
      </w:pPr>
    </w:p>
    <w:p w14:paraId="08F947D7" w14:textId="5E45BB00" w:rsidR="005C7FC0" w:rsidRDefault="005C7FC0" w:rsidP="00366A7D">
      <w:pPr>
        <w:rPr>
          <w:sz w:val="22"/>
          <w:szCs w:val="22"/>
        </w:rPr>
      </w:pPr>
    </w:p>
    <w:p w14:paraId="3423DC2C" w14:textId="04C925E9" w:rsidR="005C7FC0" w:rsidRPr="009649C6" w:rsidRDefault="005C7FC0" w:rsidP="00366A7D">
      <w:pPr>
        <w:rPr>
          <w:sz w:val="22"/>
          <w:szCs w:val="22"/>
        </w:rPr>
      </w:pPr>
      <w:r>
        <w:rPr>
          <w:sz w:val="22"/>
          <w:szCs w:val="22"/>
        </w:rPr>
        <w:t>Revised December 16, 2020</w:t>
      </w:r>
    </w:p>
    <w:sectPr w:rsidR="005C7FC0" w:rsidRPr="009649C6" w:rsidSect="00BE2EE0">
      <w:headerReference w:type="even" r:id="rId14"/>
      <w:headerReference w:type="first" r:id="rId15"/>
      <w:pgSz w:w="12240" w:h="15840"/>
      <w:pgMar w:top="1440" w:right="1800" w:bottom="1440" w:left="180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BD6787" w14:textId="77777777" w:rsidR="00BF6318" w:rsidRDefault="00BF6318" w:rsidP="00265332">
      <w:r>
        <w:separator/>
      </w:r>
    </w:p>
  </w:endnote>
  <w:endnote w:type="continuationSeparator" w:id="0">
    <w:p w14:paraId="29363865" w14:textId="77777777" w:rsidR="00BF6318" w:rsidRDefault="00BF6318" w:rsidP="00265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564C4D" w14:textId="77777777" w:rsidR="00BF6318" w:rsidRDefault="00BF6318" w:rsidP="00265332">
      <w:r>
        <w:separator/>
      </w:r>
    </w:p>
  </w:footnote>
  <w:footnote w:type="continuationSeparator" w:id="0">
    <w:p w14:paraId="2032ADBE" w14:textId="77777777" w:rsidR="00BF6318" w:rsidRDefault="00BF6318" w:rsidP="00265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770FB" w14:textId="77777777" w:rsidR="007D2FED" w:rsidRDefault="00BF6318">
    <w:pPr>
      <w:pStyle w:val="Header"/>
    </w:pPr>
    <w:r>
      <w:rPr>
        <w:noProof/>
      </w:rPr>
      <w:pict w14:anchorId="78A77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8240;mso-wrap-edited:f;mso-position-horizontal:center;mso-position-horizontal-relative:margin;mso-position-vertical:center;mso-position-vertical-relative:margin" wrapcoords="-26 0 -26 21559 21600 21559 21600 0 -26 0">
          <v:imagedata r:id="rId1" o:title="NCOA_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770FC" w14:textId="77777777" w:rsidR="007D2FED" w:rsidRDefault="00BE2EE0" w:rsidP="003651C1">
    <w:pPr>
      <w:pStyle w:val="Header"/>
      <w:tabs>
        <w:tab w:val="clear" w:pos="4320"/>
        <w:tab w:val="clear" w:pos="8640"/>
        <w:tab w:val="left" w:pos="3213"/>
      </w:tabs>
    </w:pPr>
    <w:r>
      <w:rPr>
        <w:rFonts w:ascii="FranklinGothic-Book" w:hAnsi="FranklinGothic-Book" w:cs="FranklinGothic-Book"/>
        <w:noProof/>
        <w:sz w:val="18"/>
        <w:szCs w:val="18"/>
      </w:rPr>
      <w:drawing>
        <wp:anchor distT="0" distB="0" distL="114300" distR="114300" simplePos="0" relativeHeight="251657216" behindDoc="1" locked="0" layoutInCell="1" allowOverlap="1" wp14:anchorId="78A770FE" wp14:editId="78A770FF">
          <wp:simplePos x="0" y="0"/>
          <wp:positionH relativeFrom="page">
            <wp:align>right</wp:align>
          </wp:positionH>
          <wp:positionV relativeFrom="paragraph">
            <wp:posOffset>-457200</wp:posOffset>
          </wp:positionV>
          <wp:extent cx="7771015" cy="10056608"/>
          <wp:effectExtent l="25400" t="0" r="13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oasvc_letterhead_internal_word_doc.png"/>
                  <pic:cNvPicPr/>
                </pic:nvPicPr>
                <pic:blipFill>
                  <a:blip r:embed="rId1"/>
                  <a:stretch>
                    <a:fillRect/>
                  </a:stretch>
                </pic:blipFill>
                <pic:spPr>
                  <a:xfrm>
                    <a:off x="0" y="0"/>
                    <a:ext cx="7771015" cy="10056608"/>
                  </a:xfrm>
                  <a:prstGeom prst="rect">
                    <a:avLst/>
                  </a:prstGeom>
                </pic:spPr>
              </pic:pic>
            </a:graphicData>
          </a:graphic>
        </wp:anchor>
      </w:drawing>
    </w:r>
    <w:r w:rsidR="003651C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EEA808C">
      <w:start w:val="1"/>
      <w:numFmt w:val="bullet"/>
      <w:lvlText w:val=""/>
      <w:lvlJc w:val="left"/>
      <w:pPr>
        <w:ind w:left="720" w:hanging="360"/>
      </w:pPr>
      <w:rPr>
        <w:rFonts w:ascii="Symbol" w:hAnsi="Symbol"/>
        <w:b w:val="0"/>
        <w:bCs w:val="0"/>
      </w:rPr>
    </w:lvl>
    <w:lvl w:ilvl="1" w:tplc="F7C4CF48">
      <w:start w:val="1"/>
      <w:numFmt w:val="bullet"/>
      <w:lvlText w:val="o"/>
      <w:lvlJc w:val="left"/>
      <w:pPr>
        <w:tabs>
          <w:tab w:val="num" w:pos="1440"/>
        </w:tabs>
        <w:ind w:left="1440" w:hanging="360"/>
      </w:pPr>
      <w:rPr>
        <w:rFonts w:ascii="Courier New" w:hAnsi="Courier New"/>
      </w:rPr>
    </w:lvl>
    <w:lvl w:ilvl="2" w:tplc="A1689828">
      <w:start w:val="1"/>
      <w:numFmt w:val="bullet"/>
      <w:lvlText w:val=""/>
      <w:lvlJc w:val="left"/>
      <w:pPr>
        <w:tabs>
          <w:tab w:val="num" w:pos="2160"/>
        </w:tabs>
        <w:ind w:left="2160" w:hanging="360"/>
      </w:pPr>
      <w:rPr>
        <w:rFonts w:ascii="Wingdings" w:hAnsi="Wingdings"/>
      </w:rPr>
    </w:lvl>
    <w:lvl w:ilvl="3" w:tplc="BB006282">
      <w:start w:val="1"/>
      <w:numFmt w:val="bullet"/>
      <w:lvlText w:val=""/>
      <w:lvlJc w:val="left"/>
      <w:pPr>
        <w:tabs>
          <w:tab w:val="num" w:pos="2880"/>
        </w:tabs>
        <w:ind w:left="2880" w:hanging="360"/>
      </w:pPr>
      <w:rPr>
        <w:rFonts w:ascii="Symbol" w:hAnsi="Symbol"/>
      </w:rPr>
    </w:lvl>
    <w:lvl w:ilvl="4" w:tplc="7368CD6A">
      <w:start w:val="1"/>
      <w:numFmt w:val="bullet"/>
      <w:lvlText w:val="o"/>
      <w:lvlJc w:val="left"/>
      <w:pPr>
        <w:tabs>
          <w:tab w:val="num" w:pos="3600"/>
        </w:tabs>
        <w:ind w:left="3600" w:hanging="360"/>
      </w:pPr>
      <w:rPr>
        <w:rFonts w:ascii="Courier New" w:hAnsi="Courier New"/>
      </w:rPr>
    </w:lvl>
    <w:lvl w:ilvl="5" w:tplc="0018D624">
      <w:start w:val="1"/>
      <w:numFmt w:val="bullet"/>
      <w:lvlText w:val=""/>
      <w:lvlJc w:val="left"/>
      <w:pPr>
        <w:tabs>
          <w:tab w:val="num" w:pos="4320"/>
        </w:tabs>
        <w:ind w:left="4320" w:hanging="360"/>
      </w:pPr>
      <w:rPr>
        <w:rFonts w:ascii="Wingdings" w:hAnsi="Wingdings"/>
      </w:rPr>
    </w:lvl>
    <w:lvl w:ilvl="6" w:tplc="D9786DD2">
      <w:start w:val="1"/>
      <w:numFmt w:val="bullet"/>
      <w:lvlText w:val=""/>
      <w:lvlJc w:val="left"/>
      <w:pPr>
        <w:tabs>
          <w:tab w:val="num" w:pos="5040"/>
        </w:tabs>
        <w:ind w:left="5040" w:hanging="360"/>
      </w:pPr>
      <w:rPr>
        <w:rFonts w:ascii="Symbol" w:hAnsi="Symbol"/>
      </w:rPr>
    </w:lvl>
    <w:lvl w:ilvl="7" w:tplc="830843C4">
      <w:start w:val="1"/>
      <w:numFmt w:val="bullet"/>
      <w:lvlText w:val="o"/>
      <w:lvlJc w:val="left"/>
      <w:pPr>
        <w:tabs>
          <w:tab w:val="num" w:pos="5760"/>
        </w:tabs>
        <w:ind w:left="5760" w:hanging="360"/>
      </w:pPr>
      <w:rPr>
        <w:rFonts w:ascii="Courier New" w:hAnsi="Courier New"/>
      </w:rPr>
    </w:lvl>
    <w:lvl w:ilvl="8" w:tplc="3FF2AD7A">
      <w:start w:val="1"/>
      <w:numFmt w:val="bullet"/>
      <w:lvlText w:val=""/>
      <w:lvlJc w:val="left"/>
      <w:pPr>
        <w:tabs>
          <w:tab w:val="num" w:pos="6480"/>
        </w:tabs>
        <w:ind w:left="6480" w:hanging="360"/>
      </w:pPr>
      <w:rPr>
        <w:rFonts w:ascii="Wingdings" w:hAnsi="Wingdings"/>
      </w:rPr>
    </w:lvl>
  </w:abstractNum>
  <w:abstractNum w:abstractNumId="1" w15:restartNumberingAfterBreak="0">
    <w:nsid w:val="61216BC9"/>
    <w:multiLevelType w:val="hybridMultilevel"/>
    <w:tmpl w:val="9DB4B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7E0"/>
    <w:rsid w:val="00063066"/>
    <w:rsid w:val="00094823"/>
    <w:rsid w:val="00103E7F"/>
    <w:rsid w:val="001201BC"/>
    <w:rsid w:val="00120354"/>
    <w:rsid w:val="00123988"/>
    <w:rsid w:val="00126B9C"/>
    <w:rsid w:val="001A0957"/>
    <w:rsid w:val="001A64EB"/>
    <w:rsid w:val="001B4086"/>
    <w:rsid w:val="0023305D"/>
    <w:rsid w:val="00265332"/>
    <w:rsid w:val="00281ADA"/>
    <w:rsid w:val="0028496F"/>
    <w:rsid w:val="002A4192"/>
    <w:rsid w:val="002D1A03"/>
    <w:rsid w:val="002D64FD"/>
    <w:rsid w:val="002E6498"/>
    <w:rsid w:val="003651C1"/>
    <w:rsid w:val="00366A7D"/>
    <w:rsid w:val="00376AC3"/>
    <w:rsid w:val="003C250E"/>
    <w:rsid w:val="003D47E0"/>
    <w:rsid w:val="003F009E"/>
    <w:rsid w:val="004C5675"/>
    <w:rsid w:val="004C7947"/>
    <w:rsid w:val="004D0E20"/>
    <w:rsid w:val="005075DA"/>
    <w:rsid w:val="0054781E"/>
    <w:rsid w:val="00582917"/>
    <w:rsid w:val="005C7FC0"/>
    <w:rsid w:val="005E56DC"/>
    <w:rsid w:val="005E760D"/>
    <w:rsid w:val="005F0383"/>
    <w:rsid w:val="006108C5"/>
    <w:rsid w:val="00656888"/>
    <w:rsid w:val="006B7CB4"/>
    <w:rsid w:val="006D7508"/>
    <w:rsid w:val="007115B8"/>
    <w:rsid w:val="00730565"/>
    <w:rsid w:val="00741F51"/>
    <w:rsid w:val="00770704"/>
    <w:rsid w:val="007B3AF7"/>
    <w:rsid w:val="007B5EDB"/>
    <w:rsid w:val="007D2FED"/>
    <w:rsid w:val="007F1069"/>
    <w:rsid w:val="0080488D"/>
    <w:rsid w:val="00832D1B"/>
    <w:rsid w:val="008634FA"/>
    <w:rsid w:val="00866FA9"/>
    <w:rsid w:val="00892045"/>
    <w:rsid w:val="00920AA1"/>
    <w:rsid w:val="00933447"/>
    <w:rsid w:val="0094547F"/>
    <w:rsid w:val="0094730A"/>
    <w:rsid w:val="009649C6"/>
    <w:rsid w:val="00970A64"/>
    <w:rsid w:val="009D2F44"/>
    <w:rsid w:val="00A156CA"/>
    <w:rsid w:val="00A37C1D"/>
    <w:rsid w:val="00A43F7B"/>
    <w:rsid w:val="00AF00A2"/>
    <w:rsid w:val="00AF371D"/>
    <w:rsid w:val="00AF584C"/>
    <w:rsid w:val="00B00DC5"/>
    <w:rsid w:val="00B07165"/>
    <w:rsid w:val="00B1208B"/>
    <w:rsid w:val="00B60CBD"/>
    <w:rsid w:val="00B72C55"/>
    <w:rsid w:val="00BE2EE0"/>
    <w:rsid w:val="00BF2FE8"/>
    <w:rsid w:val="00BF6318"/>
    <w:rsid w:val="00C03B84"/>
    <w:rsid w:val="00C549F1"/>
    <w:rsid w:val="00D10AE3"/>
    <w:rsid w:val="00D900B4"/>
    <w:rsid w:val="00D911E5"/>
    <w:rsid w:val="00D97EFE"/>
    <w:rsid w:val="00DA0955"/>
    <w:rsid w:val="00DB3339"/>
    <w:rsid w:val="00E2591F"/>
    <w:rsid w:val="00E41D1B"/>
    <w:rsid w:val="00E43A8D"/>
    <w:rsid w:val="00F17C04"/>
    <w:rsid w:val="00F2653F"/>
    <w:rsid w:val="00F32A33"/>
    <w:rsid w:val="00F420A0"/>
    <w:rsid w:val="00F461F7"/>
    <w:rsid w:val="00FC11C6"/>
    <w:rsid w:val="00FC19B9"/>
    <w:rsid w:val="00FC6BAC"/>
    <w:rsid w:val="00FD226F"/>
    <w:rsid w:val="00FD5052"/>
    <w:rsid w:val="00FD50E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8A770DB"/>
  <w15:docId w15:val="{D5D4A72D-BB7C-46EB-98A8-29D20EBA4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E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7E0"/>
    <w:pPr>
      <w:tabs>
        <w:tab w:val="center" w:pos="4320"/>
        <w:tab w:val="right" w:pos="8640"/>
      </w:tabs>
    </w:pPr>
  </w:style>
  <w:style w:type="character" w:customStyle="1" w:styleId="HeaderChar">
    <w:name w:val="Header Char"/>
    <w:basedOn w:val="DefaultParagraphFont"/>
    <w:link w:val="Header"/>
    <w:uiPriority w:val="99"/>
    <w:rsid w:val="003D47E0"/>
  </w:style>
  <w:style w:type="paragraph" w:styleId="Footer">
    <w:name w:val="footer"/>
    <w:basedOn w:val="Normal"/>
    <w:link w:val="FooterChar"/>
    <w:uiPriority w:val="99"/>
    <w:unhideWhenUsed/>
    <w:rsid w:val="003D47E0"/>
    <w:pPr>
      <w:tabs>
        <w:tab w:val="center" w:pos="4320"/>
        <w:tab w:val="right" w:pos="8640"/>
      </w:tabs>
    </w:pPr>
  </w:style>
  <w:style w:type="character" w:customStyle="1" w:styleId="FooterChar">
    <w:name w:val="Footer Char"/>
    <w:basedOn w:val="DefaultParagraphFont"/>
    <w:link w:val="Footer"/>
    <w:uiPriority w:val="99"/>
    <w:rsid w:val="003D47E0"/>
  </w:style>
  <w:style w:type="paragraph" w:customStyle="1" w:styleId="BasicParagraph">
    <w:name w:val="[Basic Paragraph]"/>
    <w:basedOn w:val="Normal"/>
    <w:uiPriority w:val="99"/>
    <w:rsid w:val="003D47E0"/>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BalloonText">
    <w:name w:val="Balloon Text"/>
    <w:basedOn w:val="Normal"/>
    <w:link w:val="BalloonTextChar"/>
    <w:uiPriority w:val="99"/>
    <w:semiHidden/>
    <w:unhideWhenUsed/>
    <w:rsid w:val="003651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51C1"/>
    <w:rPr>
      <w:rFonts w:ascii="Lucida Grande" w:hAnsi="Lucida Grande" w:cs="Lucida Grande"/>
      <w:sz w:val="18"/>
      <w:szCs w:val="18"/>
    </w:rPr>
  </w:style>
  <w:style w:type="paragraph" w:styleId="NormalWeb">
    <w:name w:val="Normal (Web)"/>
    <w:basedOn w:val="Normal"/>
    <w:uiPriority w:val="99"/>
    <w:unhideWhenUsed/>
    <w:rsid w:val="00E2591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C7947"/>
    <w:rPr>
      <w:color w:val="0000FF"/>
      <w:u w:val="single"/>
    </w:rPr>
  </w:style>
  <w:style w:type="paragraph" w:styleId="ListParagraph">
    <w:name w:val="List Paragraph"/>
    <w:basedOn w:val="Normal"/>
    <w:uiPriority w:val="34"/>
    <w:qFormat/>
    <w:rsid w:val="00920AA1"/>
    <w:pPr>
      <w:spacing w:after="160" w:line="259" w:lineRule="auto"/>
      <w:ind w:left="720"/>
      <w:contextualSpacing/>
    </w:pPr>
    <w:rPr>
      <w:sz w:val="22"/>
      <w:szCs w:val="22"/>
    </w:rPr>
  </w:style>
  <w:style w:type="character" w:styleId="UnresolvedMention">
    <w:name w:val="Unresolved Mention"/>
    <w:basedOn w:val="DefaultParagraphFont"/>
    <w:uiPriority w:val="99"/>
    <w:semiHidden/>
    <w:unhideWhenUsed/>
    <w:rsid w:val="001A64EB"/>
    <w:rPr>
      <w:color w:val="605E5C"/>
      <w:shd w:val="clear" w:color="auto" w:fill="E1DFDD"/>
    </w:rPr>
  </w:style>
  <w:style w:type="character" w:styleId="CommentReference">
    <w:name w:val="annotation reference"/>
    <w:basedOn w:val="DefaultParagraphFont"/>
    <w:uiPriority w:val="99"/>
    <w:semiHidden/>
    <w:unhideWhenUsed/>
    <w:rsid w:val="007B3AF7"/>
    <w:rPr>
      <w:sz w:val="16"/>
      <w:szCs w:val="16"/>
    </w:rPr>
  </w:style>
  <w:style w:type="paragraph" w:styleId="CommentText">
    <w:name w:val="annotation text"/>
    <w:basedOn w:val="Normal"/>
    <w:link w:val="CommentTextChar"/>
    <w:uiPriority w:val="99"/>
    <w:semiHidden/>
    <w:unhideWhenUsed/>
    <w:rsid w:val="007B3AF7"/>
    <w:rPr>
      <w:sz w:val="20"/>
      <w:szCs w:val="20"/>
    </w:rPr>
  </w:style>
  <w:style w:type="character" w:customStyle="1" w:styleId="CommentTextChar">
    <w:name w:val="Comment Text Char"/>
    <w:basedOn w:val="DefaultParagraphFont"/>
    <w:link w:val="CommentText"/>
    <w:uiPriority w:val="99"/>
    <w:semiHidden/>
    <w:rsid w:val="007B3AF7"/>
    <w:rPr>
      <w:sz w:val="20"/>
      <w:szCs w:val="20"/>
    </w:rPr>
  </w:style>
  <w:style w:type="paragraph" w:styleId="CommentSubject">
    <w:name w:val="annotation subject"/>
    <w:basedOn w:val="CommentText"/>
    <w:next w:val="CommentText"/>
    <w:link w:val="CommentSubjectChar"/>
    <w:uiPriority w:val="99"/>
    <w:semiHidden/>
    <w:unhideWhenUsed/>
    <w:rsid w:val="007B3AF7"/>
    <w:rPr>
      <w:b/>
      <w:bCs/>
    </w:rPr>
  </w:style>
  <w:style w:type="character" w:customStyle="1" w:styleId="CommentSubjectChar">
    <w:name w:val="Comment Subject Char"/>
    <w:basedOn w:val="CommentTextChar"/>
    <w:link w:val="CommentSubject"/>
    <w:uiPriority w:val="99"/>
    <w:semiHidden/>
    <w:rsid w:val="007B3A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Kayrish@ncoa.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eslie.Fried@ncoa.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info.gov/content/pkg/FR-2020-11-06/pdf/2020-24332.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BB872C9D9D7640A572EA9DF89D4252" ma:contentTypeVersion="11" ma:contentTypeDescription="Create a new document." ma:contentTypeScope="" ma:versionID="d31013b4a285127439441244419c65a0">
  <xsd:schema xmlns:xsd="http://www.w3.org/2001/XMLSchema" xmlns:xs="http://www.w3.org/2001/XMLSchema" xmlns:p="http://schemas.microsoft.com/office/2006/metadata/properties" xmlns:ns3="d3f8a35b-3600-4b0d-93c1-448a359c926b" xmlns:ns4="288be881-91e9-49a6-96c4-3567ab007a69" targetNamespace="http://schemas.microsoft.com/office/2006/metadata/properties" ma:root="true" ma:fieldsID="10bdaf15653bf0bb17e626693a541f03" ns3:_="" ns4:_="">
    <xsd:import namespace="d3f8a35b-3600-4b0d-93c1-448a359c926b"/>
    <xsd:import namespace="288be881-91e9-49a6-96c4-3567ab007a6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f8a35b-3600-4b0d-93c1-448a359c92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8be881-91e9-49a6-96c4-3567ab007a6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C5334-C8D9-4620-846E-11279D7DA1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D0C55B-8987-4EBE-8BB3-1953E0DA0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f8a35b-3600-4b0d-93c1-448a359c926b"/>
    <ds:schemaRef ds:uri="288be881-91e9-49a6-96c4-3567ab007a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A0C702-B14C-4A82-A8FB-E323BFDE8C7F}">
  <ds:schemaRefs>
    <ds:schemaRef ds:uri="http://schemas.microsoft.com/sharepoint/v3/contenttype/forms"/>
  </ds:schemaRefs>
</ds:datastoreItem>
</file>

<file path=customXml/itemProps4.xml><?xml version="1.0" encoding="utf-8"?>
<ds:datastoreItem xmlns:ds="http://schemas.openxmlformats.org/officeDocument/2006/customXml" ds:itemID="{09E99819-EB43-4B35-BC50-6580BE1AF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651</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Cobalt Communications</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 Harris</dc:creator>
  <cp:lastModifiedBy>Leslie Fried</cp:lastModifiedBy>
  <cp:revision>14</cp:revision>
  <cp:lastPrinted>2020-12-14T19:50:00Z</cp:lastPrinted>
  <dcterms:created xsi:type="dcterms:W3CDTF">2020-12-16T15:15:00Z</dcterms:created>
  <dcterms:modified xsi:type="dcterms:W3CDTF">2020-12-16T18:11:00Z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0x010100E8BB872C9D9D7640A572EA9DF89D4252</vt:lpwstr>
  </property>
</Properties>
</file>