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A6855" w14:textId="77777777"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March 22, 2018</w:t>
      </w:r>
    </w:p>
    <w:p w14:paraId="5EB17045" w14:textId="77777777" w:rsidR="00CF7A3A" w:rsidRPr="0024730E" w:rsidRDefault="00DA0022">
      <w:pPr>
        <w:spacing w:after="0" w:line="240" w:lineRule="auto"/>
        <w:rPr>
          <w:rFonts w:eastAsia="Calibri" w:cstheme="minorHAnsi"/>
        </w:rPr>
      </w:pPr>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r w:rsidRPr="0024730E">
        <w:rPr>
          <w:rFonts w:eastAsia="Calibri" w:cstheme="minorHAnsi"/>
          <w:b/>
        </w:rPr>
        <w:tab/>
      </w:r>
    </w:p>
    <w:p w14:paraId="582CE15B" w14:textId="12D449FA" w:rsidR="00CF7A3A" w:rsidRPr="0024730E" w:rsidRDefault="00DA0022">
      <w:pPr>
        <w:spacing w:after="0" w:line="240" w:lineRule="auto"/>
        <w:rPr>
          <w:rFonts w:eastAsia="Calibri" w:cstheme="minorHAnsi"/>
        </w:rPr>
      </w:pPr>
      <w:r w:rsidRPr="0024730E">
        <w:rPr>
          <w:rFonts w:eastAsia="Calibri" w:cstheme="minorHAnsi"/>
        </w:rPr>
        <w:t xml:space="preserve">Re:  Agency Information Collection Activities; Submission for OMB Review; Comment Request; </w:t>
      </w:r>
      <w:r w:rsidRPr="0024730E">
        <w:rPr>
          <w:rFonts w:eastAsia="Calibri" w:cstheme="minorHAnsi"/>
        </w:rPr>
        <w:tab/>
        <w:t xml:space="preserve"> Revision of Existing Data Collection; National Longitudinal Survey of Older Americans Act Participants (NLSOAAP), OMB Control No. 201802-0985-002, FR Doc. 2018-03390</w:t>
      </w:r>
    </w:p>
    <w:p w14:paraId="4CCE352D" w14:textId="77777777" w:rsidR="00CF7A3A" w:rsidRPr="0024730E" w:rsidRDefault="00DA0022">
      <w:pPr>
        <w:spacing w:after="0" w:line="240" w:lineRule="auto"/>
        <w:rPr>
          <w:rFonts w:eastAsia="Calibri" w:cstheme="minorHAnsi"/>
        </w:rPr>
      </w:pPr>
      <w:r w:rsidRPr="0024730E">
        <w:rPr>
          <w:rFonts w:eastAsia="Calibri" w:cstheme="minorHAnsi"/>
        </w:rPr>
        <w:tab/>
      </w:r>
    </w:p>
    <w:p w14:paraId="1DDAE660" w14:textId="77777777" w:rsidR="00CF7A3A" w:rsidRPr="0024730E" w:rsidRDefault="00DA0022">
      <w:pPr>
        <w:spacing w:after="0" w:line="240" w:lineRule="auto"/>
        <w:rPr>
          <w:rFonts w:cstheme="minorHAnsi"/>
          <w:color w:val="000000"/>
        </w:rPr>
      </w:pPr>
      <w:r w:rsidRPr="0024730E">
        <w:rPr>
          <w:rFonts w:cstheme="minorHAnsi"/>
          <w:color w:val="000000"/>
        </w:rPr>
        <w:t xml:space="preserve">VIA E-MAIL: </w:t>
      </w:r>
      <w:hyperlink r:id="rId7" w:history="1">
        <w:r w:rsidRPr="0024730E">
          <w:rPr>
            <w:rStyle w:val="Hyperlink"/>
            <w:rFonts w:cstheme="minorHAnsi"/>
          </w:rPr>
          <w:t>OIRA_submission@omb.eop.gov</w:t>
        </w:r>
      </w:hyperlink>
      <w:r w:rsidRPr="0024730E">
        <w:rPr>
          <w:rFonts w:cstheme="minorHAnsi"/>
          <w:color w:val="000000"/>
        </w:rPr>
        <w:t xml:space="preserve"> </w:t>
      </w:r>
    </w:p>
    <w:p w14:paraId="71C4C158" w14:textId="77777777" w:rsidR="00CF7A3A" w:rsidRPr="0024730E" w:rsidRDefault="00DA0022">
      <w:pPr>
        <w:spacing w:after="0" w:line="240" w:lineRule="auto"/>
        <w:rPr>
          <w:rFonts w:eastAsia="Calibri" w:cstheme="minorHAnsi"/>
        </w:rPr>
      </w:pPr>
      <w:r w:rsidRPr="0024730E">
        <w:rPr>
          <w:rFonts w:eastAsia="Calibri" w:cstheme="minorHAnsi"/>
        </w:rPr>
        <w:t>ATTN:  OMB Desk Officer for ACL</w:t>
      </w:r>
    </w:p>
    <w:p w14:paraId="243A5052" w14:textId="77777777" w:rsidR="00CF7A3A" w:rsidRPr="0024730E" w:rsidRDefault="00CF7A3A">
      <w:pPr>
        <w:autoSpaceDE w:val="0"/>
        <w:autoSpaceDN w:val="0"/>
        <w:adjustRightInd w:val="0"/>
        <w:spacing w:after="0" w:line="240" w:lineRule="auto"/>
        <w:rPr>
          <w:rFonts w:cstheme="minorHAnsi"/>
          <w:color w:val="000000"/>
        </w:rPr>
      </w:pPr>
    </w:p>
    <w:p w14:paraId="6C281D4C" w14:textId="61517446" w:rsidR="00CF7A3A" w:rsidRPr="0024730E" w:rsidRDefault="00FC1329">
      <w:pPr>
        <w:autoSpaceDE w:val="0"/>
        <w:autoSpaceDN w:val="0"/>
        <w:adjustRightInd w:val="0"/>
        <w:spacing w:after="0" w:line="240" w:lineRule="auto"/>
        <w:rPr>
          <w:rFonts w:cstheme="minorHAnsi"/>
          <w:color w:val="000000"/>
        </w:rPr>
      </w:pPr>
      <w:r w:rsidRPr="0024730E">
        <w:rPr>
          <w:rFonts w:cstheme="minorHAnsi"/>
          <w:color w:val="000000"/>
        </w:rPr>
        <w:t>The Leadership Council of Aging Organizations (LCAO)</w:t>
      </w:r>
      <w:r w:rsidR="00DA0022" w:rsidRPr="0024730E">
        <w:rPr>
          <w:rFonts w:cstheme="minorHAnsi"/>
          <w:color w:val="000000"/>
        </w:rPr>
        <w:t xml:space="preserve"> is writing to request </w:t>
      </w:r>
      <w:r w:rsidR="0084634C">
        <w:rPr>
          <w:rFonts w:cstheme="minorHAnsi"/>
          <w:color w:val="000000"/>
        </w:rPr>
        <w:t xml:space="preserve">that </w:t>
      </w:r>
      <w:r w:rsidR="00DA0022" w:rsidRPr="0024730E">
        <w:rPr>
          <w:rFonts w:cstheme="minorHAnsi"/>
          <w:color w:val="000000"/>
        </w:rPr>
        <w:t xml:space="preserve">the Office of Management and Budget (OMB) take action to ensure that the redesigned National Survey of Older Americans Act Participants (NSOAAP) adequately assesses the extent to which programs funded under the Older Americans Act (OAA) serve all lesbian, gay, bisexual, and transgender (LGBT) older adults.  </w:t>
      </w:r>
    </w:p>
    <w:p w14:paraId="59F8DFB3" w14:textId="55391305" w:rsidR="00CF7A3A" w:rsidRPr="0024730E" w:rsidRDefault="00CF7A3A">
      <w:pPr>
        <w:autoSpaceDE w:val="0"/>
        <w:autoSpaceDN w:val="0"/>
        <w:adjustRightInd w:val="0"/>
        <w:spacing w:after="0" w:line="240" w:lineRule="auto"/>
        <w:rPr>
          <w:rFonts w:cstheme="minorHAnsi"/>
          <w:color w:val="000000"/>
        </w:rPr>
      </w:pPr>
    </w:p>
    <w:p w14:paraId="25AF3CD6" w14:textId="0873B533" w:rsidR="001B6A39" w:rsidRPr="0024730E" w:rsidRDefault="001B6A39" w:rsidP="001B6A39">
      <w:pPr>
        <w:autoSpaceDE w:val="0"/>
        <w:autoSpaceDN w:val="0"/>
        <w:adjustRightInd w:val="0"/>
        <w:spacing w:after="0" w:line="240" w:lineRule="auto"/>
      </w:pPr>
      <w:r w:rsidRPr="0024730E">
        <w:t xml:space="preserve">Since 1980, LCAO has been the country’s preeminent coalition representing older Americans. Comprised of 70 national nonprofit organization members, LCAO focuses on the well-being of America’s older population and is committed to representing their interests in the policy-making arena. </w:t>
      </w:r>
      <w:r w:rsidR="002C5816">
        <w:t xml:space="preserve"> </w:t>
      </w:r>
      <w:r w:rsidRPr="0024730E">
        <w:t xml:space="preserve">LCAO serves as a source of information about issues affecting older persons and provides leadership and vision as America meets the challenges and opportunities presented by </w:t>
      </w:r>
      <w:r w:rsidR="002C5816">
        <w:t>our</w:t>
      </w:r>
      <w:r w:rsidR="002C5816" w:rsidRPr="0024730E">
        <w:t xml:space="preserve"> </w:t>
      </w:r>
      <w:r w:rsidRPr="0024730E">
        <w:t>aging society.</w:t>
      </w:r>
    </w:p>
    <w:p w14:paraId="44712D97" w14:textId="6804EC4D" w:rsidR="001B6A39" w:rsidRPr="0024730E" w:rsidRDefault="001B6A39">
      <w:pPr>
        <w:autoSpaceDE w:val="0"/>
        <w:autoSpaceDN w:val="0"/>
        <w:adjustRightInd w:val="0"/>
        <w:spacing w:after="0" w:line="240" w:lineRule="auto"/>
        <w:rPr>
          <w:rFonts w:cstheme="minorHAnsi"/>
          <w:color w:val="000000"/>
        </w:rPr>
      </w:pPr>
    </w:p>
    <w:p w14:paraId="3BAAAFDE" w14:textId="528080E9"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 xml:space="preserve">We support the decision of the Administration for Community Living (ACL) to continue to collect information about program participants’ sexual orientation.  This will enable ACL to fulfil its statutory obligation to ensure that funds allocated pursuant to the OAA are being targeted to older adults with “greatest social need,” including lesbian, gay, and bisexual older adults, who are often under-served by these programs.  At the same time, we are concerned that the proposed Survey will not collect information about the extent to which OAA-funded programs serve the needs of transgender older adults.  We strongly encourage OMB to require ACL to fulfil its commitment to conduct further testing to assess whether the proposed Survey – which eliminates the reference to transgender identity contained in prior Surveys – will provide an adequate opportunity to assess the extent to which OAA-funded programs are serving transgender older adults.  We further request that OMB not approve a final Survey </w:t>
      </w:r>
      <w:r w:rsidRPr="0024730E">
        <w:rPr>
          <w:rFonts w:ascii="Calibri" w:hAnsi="Calibri" w:cs="Calibri"/>
        </w:rPr>
        <w:t>unless ACL can demonstrate that the Survey will adequately assess the extent to which OAA-funded programs are serving this isolated population.</w:t>
      </w:r>
    </w:p>
    <w:p w14:paraId="7391A708" w14:textId="263D396C" w:rsidR="001B6A39" w:rsidRPr="0024730E" w:rsidRDefault="001B6A39" w:rsidP="001B6A39">
      <w:pPr>
        <w:autoSpaceDE w:val="0"/>
        <w:autoSpaceDN w:val="0"/>
        <w:adjustRightInd w:val="0"/>
        <w:spacing w:after="0" w:line="240" w:lineRule="auto"/>
        <w:rPr>
          <w:rFonts w:cstheme="minorHAnsi"/>
          <w:color w:val="000000"/>
        </w:rPr>
      </w:pPr>
    </w:p>
    <w:p w14:paraId="74B894EC" w14:textId="59FB1375"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 xml:space="preserve">On September 26, 2017, ACL proposed a new, longitudinal NSOAAP that will collect information on sexual orientation, but would remove any express reference to gender identity </w:t>
      </w:r>
      <w:r w:rsidRPr="0024730E">
        <w:rPr>
          <w:rFonts w:cstheme="minorHAnsi"/>
          <w:i/>
          <w:color w:val="000000"/>
        </w:rPr>
        <w:t>(i.e</w:t>
      </w:r>
      <w:r w:rsidRPr="0024730E">
        <w:rPr>
          <w:rFonts w:cstheme="minorHAnsi"/>
          <w:color w:val="000000"/>
        </w:rPr>
        <w:t>., whether a respondent identifie</w:t>
      </w:r>
      <w:r w:rsidR="005708C1" w:rsidRPr="0024730E">
        <w:rPr>
          <w:rFonts w:cstheme="minorHAnsi"/>
          <w:color w:val="000000"/>
        </w:rPr>
        <w:t>s</w:t>
      </w:r>
      <w:r w:rsidRPr="0024730E">
        <w:rPr>
          <w:rFonts w:cstheme="minorHAnsi"/>
          <w:color w:val="000000"/>
        </w:rPr>
        <w:t xml:space="preserve"> as transgender).  As ACL has acknowledged, during the </w:t>
      </w:r>
      <w:r w:rsidR="00BF7D1D" w:rsidRPr="0024730E">
        <w:rPr>
          <w:rFonts w:cstheme="minorHAnsi"/>
          <w:color w:val="000000"/>
        </w:rPr>
        <w:t>60-day</w:t>
      </w:r>
      <w:r w:rsidRPr="0024730E">
        <w:rPr>
          <w:rFonts w:cstheme="minorHAnsi"/>
          <w:color w:val="000000"/>
        </w:rPr>
        <w:t xml:space="preserve"> comment period, “[o]</w:t>
      </w:r>
      <w:proofErr w:type="spellStart"/>
      <w:r w:rsidRPr="0024730E">
        <w:rPr>
          <w:rFonts w:cstheme="minorHAnsi"/>
          <w:color w:val="000000"/>
        </w:rPr>
        <w:t>ver</w:t>
      </w:r>
      <w:proofErr w:type="spellEnd"/>
      <w:r w:rsidRPr="0024730E">
        <w:rPr>
          <w:rFonts w:cstheme="minorHAnsi"/>
          <w:color w:val="000000"/>
        </w:rPr>
        <w:t xml:space="preserve"> 80% of the submitted comments were about [</w:t>
      </w:r>
      <w:r w:rsidRPr="0024730E">
        <w:rPr>
          <w:rFonts w:cstheme="minorHAnsi"/>
        </w:rPr>
        <w:t>questions on gender identity]</w:t>
      </w:r>
      <w:r w:rsidRPr="0024730E">
        <w:rPr>
          <w:rFonts w:cstheme="minorHAnsi"/>
          <w:color w:val="000000"/>
        </w:rPr>
        <w:t xml:space="preserve">.  Specifically, many of the comments were that “we encourage ACL to adopt a measure of gender identity” or “improve the methodology for collecting information about the participation of transgender older adults.”’  We agree.  </w:t>
      </w:r>
    </w:p>
    <w:p w14:paraId="68361C9D" w14:textId="77777777" w:rsidR="00CF7A3A" w:rsidRPr="0024730E" w:rsidRDefault="00CF7A3A">
      <w:pPr>
        <w:autoSpaceDE w:val="0"/>
        <w:autoSpaceDN w:val="0"/>
        <w:adjustRightInd w:val="0"/>
        <w:spacing w:after="0" w:line="240" w:lineRule="auto"/>
        <w:rPr>
          <w:rFonts w:cstheme="minorHAnsi"/>
          <w:color w:val="000000"/>
        </w:rPr>
      </w:pPr>
    </w:p>
    <w:p w14:paraId="5B97982D" w14:textId="1026569C"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 xml:space="preserve">The NSOAAP provides critical data on whether </w:t>
      </w:r>
      <w:r w:rsidR="00BF7D1D" w:rsidRPr="0024730E">
        <w:rPr>
          <w:rFonts w:cstheme="minorHAnsi"/>
          <w:color w:val="000000"/>
        </w:rPr>
        <w:t>federally</w:t>
      </w:r>
      <w:r w:rsidR="00BF7D1D">
        <w:rPr>
          <w:rFonts w:cstheme="minorHAnsi"/>
          <w:color w:val="000000"/>
        </w:rPr>
        <w:t>-</w:t>
      </w:r>
      <w:r w:rsidRPr="0024730E">
        <w:rPr>
          <w:rFonts w:cstheme="minorHAnsi"/>
          <w:color w:val="000000"/>
        </w:rPr>
        <w:t xml:space="preserve">funded aging programs like meals on wheels, family caregiver support, adult daycare, and senior centers reach all older adults.  A Survey that does not capture gender identity is fundamentally at odds with Congress’s intent that programs funded under the OAA prioritize the neediest and most isolated segments of the population.  If ACL does not collect data on the participation of transgender elders, ACL will not have the most basic data on whether the aging network is meeting the needs of this population.  </w:t>
      </w:r>
    </w:p>
    <w:p w14:paraId="1B4F9313" w14:textId="30F07AD6" w:rsidR="00CF7A3A" w:rsidRPr="0024730E" w:rsidRDefault="00CF7A3A">
      <w:pPr>
        <w:autoSpaceDE w:val="0"/>
        <w:autoSpaceDN w:val="0"/>
        <w:adjustRightInd w:val="0"/>
        <w:spacing w:after="0" w:line="240" w:lineRule="auto"/>
        <w:rPr>
          <w:rFonts w:cstheme="minorHAnsi"/>
          <w:color w:val="000000"/>
        </w:rPr>
      </w:pPr>
      <w:bookmarkStart w:id="0" w:name="_GoBack"/>
      <w:bookmarkEnd w:id="0"/>
    </w:p>
    <w:p w14:paraId="1F78E029" w14:textId="7761519D" w:rsidR="00CF7A3A" w:rsidRPr="00B5157F" w:rsidRDefault="00DA0022" w:rsidP="00B5157F">
      <w:pPr>
        <w:jc w:val="both"/>
      </w:pPr>
      <w:r w:rsidRPr="0024730E">
        <w:lastRenderedPageBreak/>
        <w:t xml:space="preserve">Ironically, the one segment of the LGBT community that ACL has decided to stop collecting data about </w:t>
      </w:r>
      <w:r w:rsidR="00BF7D1D">
        <w:t>is</w:t>
      </w:r>
      <w:r w:rsidR="003B3D42">
        <w:t xml:space="preserve"> </w:t>
      </w:r>
      <w:r w:rsidRPr="0024730E">
        <w:t xml:space="preserve">the </w:t>
      </w:r>
      <w:r w:rsidR="00BF7D1D">
        <w:t>group</w:t>
      </w:r>
      <w:r w:rsidR="00BF7D1D" w:rsidRPr="0024730E">
        <w:t xml:space="preserve"> </w:t>
      </w:r>
      <w:r w:rsidRPr="0024730E">
        <w:t>most likely to have the greatest social and economic need (as defined in the Older Americans Act) and least likely to receive the services and supports they need to live independently.  Transgender older adults are even more likely than other LGBT older adults to:  suffer from “physical and mental disabilities”; face “cultural, social or geographic isolation”; and have “an income level at or below the poverty line.”  At the same time, for transgender older adults, the shortage of culturally competent providers and the fear of discrimination are especially acute.  As a result, transgender older adults are at a particularly high risk of not receiving the services and supports that they need to live independently.</w:t>
      </w:r>
      <w:r w:rsidR="00734DF6" w:rsidRPr="0024730E">
        <w:rPr>
          <w:rStyle w:val="FootnoteReference"/>
        </w:rPr>
        <w:footnoteReference w:id="1"/>
      </w:r>
      <w:r w:rsidRPr="0024730E">
        <w:t xml:space="preserve">  </w:t>
      </w:r>
    </w:p>
    <w:p w14:paraId="5003896B" w14:textId="7D474686"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ACL now seek</w:t>
      </w:r>
      <w:r w:rsidR="007631DA">
        <w:rPr>
          <w:rFonts w:cstheme="minorHAnsi"/>
          <w:color w:val="000000"/>
        </w:rPr>
        <w:t>s OMB approval to conduct “cogni</w:t>
      </w:r>
      <w:r w:rsidRPr="0024730E">
        <w:rPr>
          <w:rFonts w:cstheme="minorHAnsi"/>
          <w:color w:val="000000"/>
        </w:rPr>
        <w:t xml:space="preserve">tive testing” of the proposed Survey.  ACL has committed to assess whether the question in the revised survey that seeks information about respondents’ gender will provide an adequate means to assess whether the OAA programs are serving transgender older adults.  We think it is obvious that the Survey is unlikely to collect information about whether respondents are transgender unless it asks them.  We therefore urge that OMB condition its approval of ACL’s request to conduct cognitive testing on a requirement that this testing meaningfully assess whether the revised Survey collects information about whether a respondent is transgender.  To do so, ACL should engage experts on the collection of sexual orientation and gender identity data.    </w:t>
      </w:r>
    </w:p>
    <w:p w14:paraId="631DEEEC" w14:textId="3516A218" w:rsidR="00CF7A3A" w:rsidRPr="0024730E" w:rsidRDefault="00CF7A3A">
      <w:pPr>
        <w:autoSpaceDE w:val="0"/>
        <w:autoSpaceDN w:val="0"/>
        <w:adjustRightInd w:val="0"/>
        <w:spacing w:after="0" w:line="240" w:lineRule="auto"/>
        <w:rPr>
          <w:rFonts w:cstheme="minorHAnsi"/>
          <w:color w:val="000000"/>
        </w:rPr>
      </w:pPr>
    </w:p>
    <w:p w14:paraId="0E63B080" w14:textId="4C33EF75"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ACL has committed that, following the cognitive testing, it will make any needed modifications to the Survey before seeking final OMB approval.  OMB should not grant final approval to the revised Survey until ACL demonstrates that it is collecting data about the participation of transgender older adults.  ACL can do so by following the lead of other federal and state surveys that have successfully implemented procedures to identify transgender respondents, such as the National Crime Victimization Survey, the Behavioral Risk Factor Surveillance System (“BRFSS”), and the California Health Interview Survey.</w:t>
      </w:r>
      <w:r w:rsidR="005708C1" w:rsidRPr="0024730E">
        <w:rPr>
          <w:rStyle w:val="FootnoteReference"/>
          <w:rFonts w:cstheme="minorHAnsi"/>
          <w:color w:val="000000"/>
        </w:rPr>
        <w:footnoteReference w:id="2"/>
      </w:r>
      <w:r w:rsidRPr="0024730E">
        <w:rPr>
          <w:rFonts w:cstheme="minorHAnsi"/>
          <w:color w:val="000000"/>
        </w:rPr>
        <w:t xml:space="preserve">  By collecting this data, and learning more about this population, ACL can ensure that more transgender older adults live independently, minimize the burden on the aging network, and ultimately save taxpayer resources by reaching those who are most vulnerable.</w:t>
      </w:r>
    </w:p>
    <w:p w14:paraId="2176CD08" w14:textId="77777777" w:rsidR="00CF7A3A" w:rsidRPr="0024730E" w:rsidRDefault="00CF7A3A">
      <w:pPr>
        <w:autoSpaceDE w:val="0"/>
        <w:autoSpaceDN w:val="0"/>
        <w:adjustRightInd w:val="0"/>
        <w:spacing w:after="0" w:line="240" w:lineRule="auto"/>
        <w:rPr>
          <w:rFonts w:cstheme="minorHAnsi"/>
          <w:color w:val="000000"/>
        </w:rPr>
      </w:pPr>
    </w:p>
    <w:p w14:paraId="3799CB99" w14:textId="77777777" w:rsidR="00CF7A3A" w:rsidRPr="0024730E" w:rsidRDefault="00DA0022">
      <w:pPr>
        <w:autoSpaceDE w:val="0"/>
        <w:autoSpaceDN w:val="0"/>
        <w:adjustRightInd w:val="0"/>
        <w:spacing w:after="0" w:line="240" w:lineRule="auto"/>
        <w:rPr>
          <w:rFonts w:cstheme="minorHAnsi"/>
          <w:color w:val="000000"/>
        </w:rPr>
      </w:pPr>
      <w:r w:rsidRPr="0024730E">
        <w:rPr>
          <w:rFonts w:cstheme="minorHAnsi"/>
          <w:color w:val="000000"/>
        </w:rPr>
        <w:t>Sincerely,</w:t>
      </w:r>
    </w:p>
    <w:p w14:paraId="2224715E" w14:textId="77777777" w:rsidR="00CF7A3A" w:rsidRPr="0024730E" w:rsidRDefault="00CF7A3A">
      <w:pPr>
        <w:autoSpaceDE w:val="0"/>
        <w:autoSpaceDN w:val="0"/>
        <w:adjustRightInd w:val="0"/>
        <w:spacing w:after="0" w:line="240" w:lineRule="auto"/>
        <w:rPr>
          <w:rFonts w:cstheme="minorHAnsi"/>
          <w:color w:val="000000"/>
        </w:rPr>
      </w:pPr>
    </w:p>
    <w:p w14:paraId="6B1DF33F" w14:textId="77777777" w:rsidR="00CF7A3A" w:rsidRDefault="00CF7A3A">
      <w:pPr>
        <w:autoSpaceDE w:val="0"/>
        <w:autoSpaceDN w:val="0"/>
        <w:adjustRightInd w:val="0"/>
        <w:spacing w:after="0" w:line="240" w:lineRule="auto"/>
        <w:rPr>
          <w:rFonts w:cstheme="minorHAnsi"/>
          <w:color w:val="000000"/>
        </w:rPr>
      </w:pPr>
    </w:p>
    <w:p w14:paraId="1D0F2627" w14:textId="45BE8344" w:rsidR="00CF7A3A" w:rsidRPr="001B6A39" w:rsidRDefault="001B6A39">
      <w:pPr>
        <w:autoSpaceDE w:val="0"/>
        <w:autoSpaceDN w:val="0"/>
        <w:adjustRightInd w:val="0"/>
        <w:spacing w:after="0" w:line="240" w:lineRule="auto"/>
        <w:rPr>
          <w:rFonts w:cstheme="minorHAnsi"/>
        </w:rPr>
      </w:pPr>
      <w:r>
        <w:rPr>
          <w:rFonts w:cstheme="minorHAnsi"/>
          <w:highlight w:val="magenta"/>
        </w:rPr>
        <w:t>XXXXX</w:t>
      </w:r>
    </w:p>
    <w:p w14:paraId="69376747" w14:textId="77777777" w:rsidR="00CF7A3A" w:rsidRDefault="00CF7A3A">
      <w:pPr>
        <w:rPr>
          <w:rFonts w:cstheme="minorHAnsi"/>
        </w:rPr>
      </w:pPr>
    </w:p>
    <w:sectPr w:rsidR="00CF7A3A">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5DF35" w14:textId="77777777" w:rsidR="00A91569" w:rsidRDefault="00A91569">
      <w:pPr>
        <w:spacing w:after="0" w:line="240" w:lineRule="auto"/>
      </w:pPr>
      <w:r>
        <w:separator/>
      </w:r>
    </w:p>
  </w:endnote>
  <w:endnote w:type="continuationSeparator" w:id="0">
    <w:p w14:paraId="681E6296" w14:textId="77777777" w:rsidR="00A91569" w:rsidRDefault="00A9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930" w14:textId="77777777" w:rsidR="00CF7A3A" w:rsidRDefault="00A91569">
    <w:pPr>
      <w:pStyle w:val="Footer"/>
    </w:pPr>
    <w:r>
      <w:rPr>
        <w:noProof/>
      </w:rPr>
      <w:pict w14:anchorId="63E1AE21">
        <v:shapetype id="_x0000_t202" coordsize="21600,21600" o:spt="202" path="m,l,21600r21600,l21600,xe">
          <v:stroke joinstyle="miter"/>
          <v:path gradientshapeok="t" o:connecttype="rect"/>
        </v:shapetype>
        <v:shape id="zzmpTrailer_1078_19" o:spid="_x0000_s2049"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" filled="f" stroked="f">
          <v:textbox inset="0,0,0,0">
            <w:txbxContent>
              <w:p w14:paraId="1367C04D" w14:textId="77777777" w:rsidR="00CF7A3A" w:rsidRDefault="00CF7A3A">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CA74" w14:textId="77777777" w:rsidR="00CF7A3A" w:rsidRDefault="00A91569">
    <w:pPr>
      <w:pStyle w:val="Footer"/>
    </w:pPr>
    <w:r>
      <w:rPr>
        <w:noProof/>
      </w:rPr>
      <w:pict w14:anchorId="63E20B7E">
        <v:shapetype id="_x0000_t202" coordsize="21600,21600" o:spt="202" path="m,l,21600r21600,l21600,xe">
          <v:stroke joinstyle="miter"/>
          <v:path gradientshapeok="t" o:connecttype="rect"/>
        </v:shapetype>
        <v:shape id="zzmpTrailer_1078_1B" o:spid="_x0000_s2050" type="#_x0000_t202" style="position:absolute;margin-left:0;margin-top:14.4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" filled="f" stroked="f">
          <v:textbox inset="0,0,0,0">
            <w:txbxContent>
              <w:p w14:paraId="21BCD01D" w14:textId="77777777" w:rsidR="00CF7A3A" w:rsidRDefault="00DA0022">
                <w:pPr>
                  <w:pStyle w:val="MacPacTrailer"/>
                </w:pPr>
                <w:r>
                  <w:t>C:\Users\jnadler\Desktop\OMB - National Aging Survey Letter - Due  3-22-18. (JJN 3.3)docx.docx</w:t>
                </w:r>
              </w:p>
              <w:p w14:paraId="6388B7CF" w14:textId="77777777" w:rsidR="00CF7A3A" w:rsidRDefault="00CF7A3A">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E186" w14:textId="77777777" w:rsidR="00A91569" w:rsidRDefault="00A91569">
      <w:pPr>
        <w:spacing w:after="0" w:line="240" w:lineRule="auto"/>
      </w:pPr>
      <w:r>
        <w:separator/>
      </w:r>
    </w:p>
  </w:footnote>
  <w:footnote w:type="continuationSeparator" w:id="0">
    <w:p w14:paraId="72D287E9" w14:textId="77777777" w:rsidR="00A91569" w:rsidRDefault="00A91569">
      <w:pPr>
        <w:spacing w:after="0" w:line="240" w:lineRule="auto"/>
      </w:pPr>
      <w:r>
        <w:continuationSeparator/>
      </w:r>
    </w:p>
  </w:footnote>
  <w:footnote w:id="1">
    <w:p w14:paraId="6F8228BB" w14:textId="3923FFBC" w:rsidR="00734DF6" w:rsidRPr="00B969C2" w:rsidRDefault="00734DF6">
      <w:pPr>
        <w:pStyle w:val="FootnoteText"/>
        <w:rPr>
          <w:sz w:val="16"/>
          <w:szCs w:val="16"/>
        </w:rPr>
      </w:pPr>
      <w:r>
        <w:rPr>
          <w:rStyle w:val="FootnoteReference"/>
        </w:rPr>
        <w:footnoteRef/>
      </w:r>
      <w:r>
        <w:t xml:space="preserve"> </w:t>
      </w:r>
      <w:r w:rsidR="00B5157F" w:rsidRPr="00B969C2">
        <w:rPr>
          <w:sz w:val="16"/>
          <w:szCs w:val="16"/>
        </w:rPr>
        <w:t xml:space="preserve">Soon Kyu Choi and Ilan H. Meyer, Williams Inst., LGBT Aging:  A Review of Research Findings, Needs, and Policy Implications (2016), </w:t>
      </w:r>
      <w:r w:rsidR="00B5157F" w:rsidRPr="004A5057">
        <w:rPr>
          <w:i/>
          <w:sz w:val="16"/>
          <w:szCs w:val="16"/>
        </w:rPr>
        <w:t>available at</w:t>
      </w:r>
      <w:r w:rsidR="00B5157F" w:rsidRPr="00B969C2">
        <w:rPr>
          <w:sz w:val="16"/>
          <w:szCs w:val="16"/>
        </w:rPr>
        <w:t xml:space="preserve"> </w:t>
      </w:r>
      <w:hyperlink r:id="rId1" w:history="1">
        <w:r w:rsidR="00B5157F" w:rsidRPr="00B969C2">
          <w:rPr>
            <w:rStyle w:val="Hyperlink"/>
            <w:sz w:val="16"/>
            <w:szCs w:val="16"/>
          </w:rPr>
          <w:t>http://williamsinstitute.law.ucla.edu/wp-content/uploads/LGBT-Aging-White-Paper.pdf</w:t>
        </w:r>
      </w:hyperlink>
      <w:r w:rsidR="00B5157F" w:rsidRPr="00B969C2">
        <w:rPr>
          <w:sz w:val="16"/>
          <w:szCs w:val="16"/>
        </w:rPr>
        <w:t xml:space="preserve">; SAGE, </w:t>
      </w:r>
      <w:r w:rsidR="00B5157F" w:rsidRPr="00B969C2">
        <w:rPr>
          <w:i/>
          <w:sz w:val="16"/>
          <w:szCs w:val="16"/>
        </w:rPr>
        <w:t>Out and Visible:  The Experiences and Attitudes of Lesbian, Gay, Bisexual and Transgender Older Adults, Ages 45-75</w:t>
      </w:r>
      <w:r w:rsidR="00B5157F" w:rsidRPr="00B969C2">
        <w:rPr>
          <w:sz w:val="16"/>
          <w:szCs w:val="16"/>
        </w:rPr>
        <w:t xml:space="preserve"> (2014), </w:t>
      </w:r>
      <w:r w:rsidR="00B5157F" w:rsidRPr="00B969C2">
        <w:rPr>
          <w:i/>
          <w:sz w:val="16"/>
          <w:szCs w:val="16"/>
        </w:rPr>
        <w:t>available at</w:t>
      </w:r>
      <w:r w:rsidR="00B5157F" w:rsidRPr="00B969C2">
        <w:rPr>
          <w:sz w:val="16"/>
          <w:szCs w:val="16"/>
        </w:rPr>
        <w:t xml:space="preserve"> </w:t>
      </w:r>
      <w:hyperlink r:id="rId2" w:history="1">
        <w:r w:rsidR="00B5157F" w:rsidRPr="00B969C2">
          <w:rPr>
            <w:rStyle w:val="Hyperlink"/>
            <w:sz w:val="16"/>
            <w:szCs w:val="16"/>
          </w:rPr>
          <w:t>www.sageusa.org/files/LGBT_OAMarketResearch_Rpt.pdf</w:t>
        </w:r>
      </w:hyperlink>
      <w:r w:rsidR="00B5157F" w:rsidRPr="00B969C2">
        <w:rPr>
          <w:sz w:val="16"/>
          <w:szCs w:val="16"/>
        </w:rPr>
        <w:t xml:space="preserve">; </w:t>
      </w:r>
      <w:r w:rsidR="00B5157F" w:rsidRPr="009D708D">
        <w:rPr>
          <w:sz w:val="16"/>
          <w:szCs w:val="16"/>
        </w:rPr>
        <w:t xml:space="preserve">LGBT Movement Advancement Project &amp; </w:t>
      </w:r>
      <w:r w:rsidR="00B5157F">
        <w:rPr>
          <w:sz w:val="16"/>
          <w:szCs w:val="16"/>
        </w:rPr>
        <w:t>SAGE</w:t>
      </w:r>
      <w:r w:rsidR="00B5157F" w:rsidRPr="009D708D">
        <w:rPr>
          <w:sz w:val="16"/>
          <w:szCs w:val="16"/>
        </w:rPr>
        <w:t xml:space="preserve">, Improving the Lives of LGBT Older Adults (2010), </w:t>
      </w:r>
      <w:r w:rsidR="00B5157F" w:rsidRPr="004A5057">
        <w:rPr>
          <w:i/>
          <w:sz w:val="16"/>
          <w:szCs w:val="16"/>
        </w:rPr>
        <w:t>available at</w:t>
      </w:r>
      <w:r w:rsidR="00B5157F" w:rsidRPr="009D708D">
        <w:rPr>
          <w:sz w:val="16"/>
          <w:szCs w:val="16"/>
        </w:rPr>
        <w:t xml:space="preserve"> </w:t>
      </w:r>
      <w:hyperlink r:id="rId3" w:history="1">
        <w:r w:rsidR="00B5157F" w:rsidRPr="005D4078">
          <w:rPr>
            <w:rStyle w:val="Hyperlink"/>
            <w:sz w:val="16"/>
            <w:szCs w:val="16"/>
          </w:rPr>
          <w:t>www.lgbtmap.org/file/improving-the-lives-of-lgbt-older-adults.pdf</w:t>
        </w:r>
      </w:hyperlink>
      <w:r w:rsidR="00B5157F">
        <w:rPr>
          <w:sz w:val="16"/>
          <w:szCs w:val="16"/>
        </w:rPr>
        <w:t xml:space="preserve">; </w:t>
      </w:r>
      <w:r w:rsidR="00B5157F" w:rsidRPr="00B969C2">
        <w:rPr>
          <w:sz w:val="16"/>
          <w:szCs w:val="16"/>
        </w:rPr>
        <w:t>R</w:t>
      </w:r>
      <w:bookmarkStart w:id="1" w:name="_BA_Cite_172EFC_000224"/>
      <w:bookmarkEnd w:id="1"/>
      <w:r w:rsidR="00B5157F" w:rsidRPr="00B969C2">
        <w:rPr>
          <w:sz w:val="16"/>
          <w:szCs w:val="16"/>
        </w:rPr>
        <w:t xml:space="preserve">ichard Wright et al., </w:t>
      </w:r>
      <w:r w:rsidR="00B5157F" w:rsidRPr="00B969C2">
        <w:rPr>
          <w:i/>
          <w:sz w:val="16"/>
          <w:szCs w:val="16"/>
        </w:rPr>
        <w:t>Same-Sex Legal Marriage and Psychological Well-Being: Findings from the California Health Interview Survey</w:t>
      </w:r>
      <w:r w:rsidR="00B5157F" w:rsidRPr="00B969C2">
        <w:rPr>
          <w:sz w:val="16"/>
          <w:szCs w:val="16"/>
        </w:rPr>
        <w:t>, 103 Am. J. Pub. Health (2013); Mo</w:t>
      </w:r>
      <w:r w:rsidR="00B5157F">
        <w:rPr>
          <w:sz w:val="16"/>
          <w:szCs w:val="16"/>
        </w:rPr>
        <w:t>vement Advancement Project</w:t>
      </w:r>
      <w:r w:rsidR="00B5157F" w:rsidRPr="00B969C2">
        <w:rPr>
          <w:sz w:val="16"/>
          <w:szCs w:val="16"/>
        </w:rPr>
        <w:t xml:space="preserve"> &amp; SAGE, </w:t>
      </w:r>
      <w:r w:rsidR="00B5157F" w:rsidRPr="00B969C2">
        <w:rPr>
          <w:i/>
          <w:sz w:val="16"/>
          <w:szCs w:val="16"/>
        </w:rPr>
        <w:t>U</w:t>
      </w:r>
      <w:bookmarkStart w:id="2" w:name="_BA_Cite_172EFC_000327"/>
      <w:bookmarkEnd w:id="2"/>
      <w:r w:rsidR="00B5157F" w:rsidRPr="00B969C2">
        <w:rPr>
          <w:i/>
          <w:sz w:val="16"/>
          <w:szCs w:val="16"/>
        </w:rPr>
        <w:t>nderstanding Issues Facing LGBT Older Adults</w:t>
      </w:r>
      <w:r w:rsidR="00B5157F" w:rsidRPr="00B969C2">
        <w:rPr>
          <w:sz w:val="16"/>
          <w:szCs w:val="16"/>
        </w:rPr>
        <w:t xml:space="preserve"> (2016), </w:t>
      </w:r>
      <w:r w:rsidR="00B5157F" w:rsidRPr="00B969C2">
        <w:rPr>
          <w:i/>
          <w:sz w:val="16"/>
          <w:szCs w:val="16"/>
        </w:rPr>
        <w:t>available at</w:t>
      </w:r>
      <w:r w:rsidR="00B5157F" w:rsidRPr="00B969C2">
        <w:rPr>
          <w:sz w:val="16"/>
          <w:szCs w:val="16"/>
        </w:rPr>
        <w:t xml:space="preserve"> </w:t>
      </w:r>
      <w:hyperlink r:id="rId4" w:history="1">
        <w:r w:rsidR="00B5157F" w:rsidRPr="00B969C2">
          <w:rPr>
            <w:rStyle w:val="Hyperlink"/>
            <w:sz w:val="16"/>
            <w:szCs w:val="16"/>
          </w:rPr>
          <w:t>www.lgbtmap.org/file/understanding-issues-facing-lgbt-older-adults.pdf</w:t>
        </w:r>
      </w:hyperlink>
      <w:r w:rsidR="00B5157F" w:rsidRPr="00B969C2">
        <w:rPr>
          <w:sz w:val="16"/>
          <w:szCs w:val="16"/>
        </w:rPr>
        <w:t xml:space="preserve">; Sandy E. James et al., Nat’l Ctr. for Transgender Equal., </w:t>
      </w:r>
      <w:r w:rsidR="00B5157F" w:rsidRPr="00B969C2">
        <w:rPr>
          <w:i/>
          <w:sz w:val="16"/>
          <w:szCs w:val="16"/>
        </w:rPr>
        <w:t xml:space="preserve">The Report of the 2015 U.S. Transgender Survey </w:t>
      </w:r>
      <w:r w:rsidR="00B5157F" w:rsidRPr="00B969C2">
        <w:rPr>
          <w:sz w:val="16"/>
          <w:szCs w:val="16"/>
        </w:rPr>
        <w:t xml:space="preserve">(2016), </w:t>
      </w:r>
      <w:r w:rsidR="00B5157F" w:rsidRPr="00B969C2">
        <w:rPr>
          <w:i/>
          <w:sz w:val="16"/>
          <w:szCs w:val="16"/>
        </w:rPr>
        <w:t>available at</w:t>
      </w:r>
      <w:r w:rsidR="00B5157F" w:rsidRPr="00B969C2">
        <w:rPr>
          <w:sz w:val="16"/>
          <w:szCs w:val="16"/>
        </w:rPr>
        <w:t xml:space="preserve"> </w:t>
      </w:r>
      <w:hyperlink r:id="rId5" w:history="1">
        <w:r w:rsidR="00B5157F" w:rsidRPr="00B969C2">
          <w:rPr>
            <w:rStyle w:val="Hyperlink"/>
            <w:sz w:val="16"/>
            <w:szCs w:val="16"/>
          </w:rPr>
          <w:t>http://www.transequality.org/sites/default/files/docs/usts/USTS%20Full%20Report%20-%20FINAL%201.6.17.pdf</w:t>
        </w:r>
      </w:hyperlink>
      <w:r w:rsidR="00B5157F" w:rsidRPr="00B969C2">
        <w:rPr>
          <w:sz w:val="16"/>
          <w:szCs w:val="16"/>
        </w:rPr>
        <w:t xml:space="preserve">; Williams Inst., </w:t>
      </w:r>
      <w:r w:rsidR="00B5157F" w:rsidRPr="00B969C2">
        <w:rPr>
          <w:i/>
          <w:sz w:val="16"/>
          <w:szCs w:val="16"/>
        </w:rPr>
        <w:t>Best Practices for Asking Questions to Identify Transgender and Other Gender Minorities on Population-Based Surveys</w:t>
      </w:r>
      <w:r w:rsidR="00B5157F" w:rsidRPr="00B969C2">
        <w:rPr>
          <w:sz w:val="16"/>
          <w:szCs w:val="16"/>
        </w:rPr>
        <w:t xml:space="preserve"> (2014),</w:t>
      </w:r>
      <w:r w:rsidR="00B5157F" w:rsidRPr="00B969C2">
        <w:rPr>
          <w:i/>
          <w:sz w:val="16"/>
          <w:szCs w:val="16"/>
        </w:rPr>
        <w:t xml:space="preserve"> available at </w:t>
      </w:r>
      <w:hyperlink r:id="rId6" w:history="1">
        <w:r w:rsidR="00B5157F" w:rsidRPr="00B969C2">
          <w:rPr>
            <w:rStyle w:val="Hyperlink"/>
            <w:sz w:val="16"/>
            <w:szCs w:val="16"/>
          </w:rPr>
          <w:t>http://williamsinstitute.law.ucla.edu/wp-content/uploads/geniuss-report-sep-2014.pdf</w:t>
        </w:r>
      </w:hyperlink>
      <w:r w:rsidR="00B5157F" w:rsidRPr="00B969C2">
        <w:rPr>
          <w:sz w:val="16"/>
          <w:szCs w:val="16"/>
        </w:rPr>
        <w:t xml:space="preserve">; Carina Storrs, </w:t>
      </w:r>
      <w:r w:rsidR="00B5157F" w:rsidRPr="00B969C2">
        <w:rPr>
          <w:i/>
          <w:sz w:val="16"/>
          <w:szCs w:val="16"/>
        </w:rPr>
        <w:t>Gender Transitioning for Seniors Has Unique Challenges</w:t>
      </w:r>
      <w:r w:rsidR="00B5157F" w:rsidRPr="00B969C2">
        <w:rPr>
          <w:sz w:val="16"/>
          <w:szCs w:val="16"/>
        </w:rPr>
        <w:t xml:space="preserve">, CNN (June 3, 2015), </w:t>
      </w:r>
      <w:r w:rsidR="00B5157F" w:rsidRPr="00B969C2">
        <w:rPr>
          <w:i/>
          <w:sz w:val="16"/>
          <w:szCs w:val="16"/>
        </w:rPr>
        <w:t>available at</w:t>
      </w:r>
      <w:r w:rsidR="00B5157F" w:rsidRPr="00B969C2">
        <w:rPr>
          <w:sz w:val="16"/>
          <w:szCs w:val="16"/>
        </w:rPr>
        <w:t xml:space="preserve"> </w:t>
      </w:r>
      <w:hyperlink r:id="rId7" w:history="1">
        <w:r w:rsidR="00B5157F" w:rsidRPr="00B969C2">
          <w:rPr>
            <w:rStyle w:val="Hyperlink"/>
            <w:sz w:val="16"/>
            <w:szCs w:val="16"/>
          </w:rPr>
          <w:t>http://www.cnn.com/2015/06/03/health/senior-gender-transition/index.html</w:t>
        </w:r>
      </w:hyperlink>
      <w:r w:rsidR="00B5157F">
        <w:rPr>
          <w:sz w:val="16"/>
          <w:szCs w:val="16"/>
        </w:rPr>
        <w:t xml:space="preserve">; </w:t>
      </w:r>
      <w:r w:rsidR="00B5157F" w:rsidRPr="009D708D">
        <w:rPr>
          <w:sz w:val="16"/>
          <w:szCs w:val="16"/>
        </w:rPr>
        <w:t>Justice in Aging, LGBT Older Adults in Long-Term Care Facil</w:t>
      </w:r>
      <w:r w:rsidR="00B5157F">
        <w:rPr>
          <w:sz w:val="16"/>
          <w:szCs w:val="16"/>
        </w:rPr>
        <w:t>ities: Stories from the Field</w:t>
      </w:r>
      <w:r w:rsidR="00B5157F" w:rsidRPr="009D708D">
        <w:rPr>
          <w:sz w:val="16"/>
          <w:szCs w:val="16"/>
        </w:rPr>
        <w:t xml:space="preserve"> (2015), </w:t>
      </w:r>
      <w:r w:rsidR="00B5157F" w:rsidRPr="009D708D">
        <w:rPr>
          <w:i/>
          <w:sz w:val="16"/>
          <w:szCs w:val="16"/>
        </w:rPr>
        <w:t>available at</w:t>
      </w:r>
      <w:r w:rsidR="00B5157F" w:rsidRPr="009D708D">
        <w:rPr>
          <w:sz w:val="16"/>
          <w:szCs w:val="16"/>
        </w:rPr>
        <w:t xml:space="preserve"> </w:t>
      </w:r>
      <w:hyperlink r:id="rId8" w:history="1">
        <w:r w:rsidR="00B5157F" w:rsidRPr="005D4078">
          <w:rPr>
            <w:rStyle w:val="Hyperlink"/>
            <w:sz w:val="16"/>
            <w:szCs w:val="16"/>
          </w:rPr>
          <w:t>http://www.justiceinaging.org.customers.tigertech.net/wp-content/uploads/2015/06/Stories-from-the-Field.pdf</w:t>
        </w:r>
      </w:hyperlink>
      <w:r w:rsidR="00B5157F">
        <w:rPr>
          <w:sz w:val="16"/>
          <w:szCs w:val="16"/>
        </w:rPr>
        <w:t xml:space="preserve"> </w:t>
      </w:r>
      <w:r w:rsidR="00B5157F" w:rsidRPr="00B969C2">
        <w:rPr>
          <w:sz w:val="16"/>
          <w:szCs w:val="16"/>
        </w:rPr>
        <w:t xml:space="preserve"> </w:t>
      </w:r>
    </w:p>
  </w:footnote>
  <w:footnote w:id="2">
    <w:p w14:paraId="7102D546" w14:textId="6C403FBD" w:rsidR="005708C1" w:rsidRPr="00B969C2" w:rsidRDefault="005708C1" w:rsidP="005708C1">
      <w:pPr>
        <w:autoSpaceDE w:val="0"/>
        <w:autoSpaceDN w:val="0"/>
        <w:adjustRightInd w:val="0"/>
        <w:spacing w:after="0" w:line="240" w:lineRule="auto"/>
        <w:rPr>
          <w:rFonts w:cstheme="minorHAnsi"/>
          <w:color w:val="000000"/>
          <w:sz w:val="16"/>
          <w:szCs w:val="16"/>
        </w:rPr>
      </w:pPr>
      <w:r w:rsidRPr="00B969C2">
        <w:rPr>
          <w:rStyle w:val="FootnoteReference"/>
          <w:sz w:val="16"/>
          <w:szCs w:val="16"/>
        </w:rPr>
        <w:footnoteRef/>
      </w:r>
      <w:r w:rsidR="00734DF6" w:rsidRPr="00B969C2">
        <w:rPr>
          <w:rFonts w:cstheme="minorHAnsi"/>
          <w:color w:val="000000"/>
          <w:sz w:val="16"/>
          <w:szCs w:val="16"/>
        </w:rPr>
        <w:t xml:space="preserve"> Su</w:t>
      </w:r>
      <w:r w:rsidRPr="00B969C2">
        <w:rPr>
          <w:rFonts w:cstheme="minorHAnsi"/>
          <w:color w:val="000000"/>
          <w:sz w:val="16"/>
          <w:szCs w:val="16"/>
        </w:rPr>
        <w:t>rvey administrators ask people their sex assigned at birth followed by their current gender identity. See Williams Inst., Best Practices for Asking Questions to Identify Transgender and Other Gender Minorities on Population-based Surveys. Available at</w:t>
      </w:r>
    </w:p>
    <w:p w14:paraId="35C6A84E" w14:textId="14BCDABD" w:rsidR="005708C1" w:rsidRPr="00734DF6" w:rsidRDefault="005708C1" w:rsidP="005708C1">
      <w:pPr>
        <w:pStyle w:val="FootnoteText"/>
      </w:pPr>
      <w:r w:rsidRPr="00B969C2">
        <w:rPr>
          <w:rFonts w:cstheme="minorHAnsi"/>
          <w:color w:val="0000FF"/>
          <w:sz w:val="16"/>
          <w:szCs w:val="16"/>
        </w:rPr>
        <w:t>http://williamsinstitute.law.ucla.edu/wp-content/uploads/geniuss-report-sep-2014.pdf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LastTrailerInserted" w:val="^`~#mp!@⌌c⌏#(┝┥7?5ŔmBR⌍B⌖NàUpsw¾₵⌃2=ï⌚K‛!Ee¡??⌖m⌔9⌒oA@§⌂ò`ƇÆK⌒⌙⌠l;ÙC^Àîà°î÷ÓåŜ⌎Þ⌅#&lt;Ť!R÷QÆ/|⌕⌉#KƂáò⌙ÍÙ©ft÷‽è­VOû‘|Ð”]þŹŗÕÜU½;4‡¦eÑñS‽ñtÍś•GØ×|®C-¸ËΩÅ+8Í⌇´N$_ÈÝvVÑÖ/zÆÛK¡B&gt;Ä]⌖rñ&amp;Má½âÑ⌉⌒ÕaÀÏ⌆5?‥÷ù­⌒ÒÍ&gt;S⁂o⌄Âá•$Ð(àÛ4Þ²⌞qþ¿ñ⌛⌛ú⌐h¦BDV:O011"/>
    <w:docVar w:name="zzmp10LastTrailerInserted_1078" w:val="^`~#mp!@⌌c⌏#(┝┥7?5ŔmBR⌍B⌖NàUpsw¾₵⌃2=ï⌚K‛!Ee¡??⌖m⌔9⌒oA@§⌂ò`ƇÆK⌒⌙⌠l;ÙC^Àîà°î÷ÓåŜ⌎Þ⌅#&lt;Ť!R÷QÆ/|⌕⌉#KƂáò⌙ÍÙ©ft÷‽è­VOû‘|Ð”]þŹŗÕÜU½;4‡¦eÑñS‽ñtÍś•GØ×|®C-¸ËΩÅ+8Í⌇´N$_ÈÝvVÑÖ/zÆÛK¡B&gt;Ä]⌖rñ&amp;Má½âÑ⌉⌒ÕaÀÏ⌆5?‥÷ù­⌒ÒÍ&gt;S⁂o⌄Âá•$Ð(àÛ4Þ²⌞qþ¿ñ⌛⌛ú⌐h¦BDV:O011"/>
    <w:docVar w:name="zzmp10mSEGsValidated" w:val="1"/>
    <w:docVar w:name="zzmpCompatibilityMode" w:val="15"/>
  </w:docVars>
  <w:rsids>
    <w:rsidRoot w:val="00CF7A3A"/>
    <w:rsid w:val="001B6A39"/>
    <w:rsid w:val="001C2A75"/>
    <w:rsid w:val="0024730E"/>
    <w:rsid w:val="002C5816"/>
    <w:rsid w:val="00312792"/>
    <w:rsid w:val="00335F55"/>
    <w:rsid w:val="003B3D42"/>
    <w:rsid w:val="005708C1"/>
    <w:rsid w:val="00734DF6"/>
    <w:rsid w:val="00750005"/>
    <w:rsid w:val="007631DA"/>
    <w:rsid w:val="00793B58"/>
    <w:rsid w:val="0084634C"/>
    <w:rsid w:val="008A3E7F"/>
    <w:rsid w:val="00A91569"/>
    <w:rsid w:val="00B5157F"/>
    <w:rsid w:val="00B969C2"/>
    <w:rsid w:val="00BF7D1D"/>
    <w:rsid w:val="00C96F06"/>
    <w:rsid w:val="00CA361A"/>
    <w:rsid w:val="00CB749C"/>
    <w:rsid w:val="00CF7A3A"/>
    <w:rsid w:val="00D0784C"/>
    <w:rsid w:val="00DA0022"/>
    <w:rsid w:val="00DA5383"/>
    <w:rsid w:val="00DF0582"/>
    <w:rsid w:val="00F73881"/>
    <w:rsid w:val="00FC132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E99000B"/>
  <w15:docId w15:val="{8DB85CC1-9FA9-41C5-A595-0DCE8881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MacPacTrailer">
    <w:name w:val="MacPac Trailer"/>
    <w:pPr>
      <w:widowControl w:val="0"/>
      <w:spacing w:after="0" w:line="240" w:lineRule="auto"/>
    </w:pPr>
    <w:rPr>
      <w:rFonts w:eastAsia="Arial Unicode MS" w:cs="Times New Roman"/>
      <w:noProof/>
      <w:sz w:val="14"/>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45322">
      <w:bodyDiv w:val="1"/>
      <w:marLeft w:val="0"/>
      <w:marRight w:val="0"/>
      <w:marTop w:val="0"/>
      <w:marBottom w:val="0"/>
      <w:divBdr>
        <w:top w:val="none" w:sz="0" w:space="0" w:color="auto"/>
        <w:left w:val="none" w:sz="0" w:space="0" w:color="auto"/>
        <w:bottom w:val="none" w:sz="0" w:space="0" w:color="auto"/>
        <w:right w:val="none" w:sz="0" w:space="0" w:color="auto"/>
      </w:divBdr>
      <w:divsChild>
        <w:div w:id="1492066614">
          <w:marLeft w:val="0"/>
          <w:marRight w:val="0"/>
          <w:marTop w:val="0"/>
          <w:marBottom w:val="0"/>
          <w:divBdr>
            <w:top w:val="none" w:sz="0" w:space="0" w:color="auto"/>
            <w:left w:val="none" w:sz="0" w:space="0" w:color="auto"/>
            <w:bottom w:val="none" w:sz="0" w:space="0" w:color="auto"/>
            <w:right w:val="none" w:sz="0" w:space="0" w:color="auto"/>
          </w:divBdr>
          <w:divsChild>
            <w:div w:id="1618828674">
              <w:marLeft w:val="0"/>
              <w:marRight w:val="0"/>
              <w:marTop w:val="0"/>
              <w:marBottom w:val="375"/>
              <w:divBdr>
                <w:top w:val="single" w:sz="6" w:space="0" w:color="CCCCCC"/>
                <w:left w:val="none" w:sz="0" w:space="0" w:color="auto"/>
                <w:bottom w:val="single" w:sz="6" w:space="0" w:color="CCCCCC"/>
                <w:right w:val="none" w:sz="0" w:space="0" w:color="auto"/>
              </w:divBdr>
            </w:div>
          </w:divsChild>
        </w:div>
        <w:div w:id="1085759456">
          <w:marLeft w:val="0"/>
          <w:marRight w:val="450"/>
          <w:marTop w:val="0"/>
          <w:marBottom w:val="300"/>
          <w:divBdr>
            <w:top w:val="none" w:sz="0" w:space="0" w:color="auto"/>
            <w:left w:val="none" w:sz="0" w:space="0" w:color="auto"/>
            <w:bottom w:val="none" w:sz="0" w:space="0" w:color="auto"/>
            <w:right w:val="none" w:sz="0" w:space="0" w:color="auto"/>
          </w:divBdr>
        </w:div>
        <w:div w:id="516238523">
          <w:marLeft w:val="0"/>
          <w:marRight w:val="0"/>
          <w:marTop w:val="0"/>
          <w:marBottom w:val="375"/>
          <w:divBdr>
            <w:top w:val="none" w:sz="0" w:space="0" w:color="auto"/>
            <w:left w:val="none" w:sz="0" w:space="0" w:color="auto"/>
            <w:bottom w:val="none" w:sz="0" w:space="0" w:color="auto"/>
            <w:right w:val="none" w:sz="0" w:space="0" w:color="auto"/>
          </w:divBdr>
          <w:divsChild>
            <w:div w:id="1876891263">
              <w:marLeft w:val="0"/>
              <w:marRight w:val="0"/>
              <w:marTop w:val="0"/>
              <w:marBottom w:val="0"/>
              <w:divBdr>
                <w:top w:val="none" w:sz="0" w:space="0" w:color="auto"/>
                <w:left w:val="none" w:sz="0" w:space="0" w:color="auto"/>
                <w:bottom w:val="none" w:sz="0" w:space="0" w:color="auto"/>
                <w:right w:val="none" w:sz="0" w:space="0" w:color="auto"/>
              </w:divBdr>
              <w:divsChild>
                <w:div w:id="650674074">
                  <w:marLeft w:val="0"/>
                  <w:marRight w:val="0"/>
                  <w:marTop w:val="0"/>
                  <w:marBottom w:val="0"/>
                  <w:divBdr>
                    <w:top w:val="none" w:sz="0" w:space="0" w:color="auto"/>
                    <w:left w:val="none" w:sz="0" w:space="0" w:color="auto"/>
                    <w:bottom w:val="none" w:sz="0" w:space="0" w:color="auto"/>
                    <w:right w:val="none" w:sz="0" w:space="0" w:color="auto"/>
                  </w:divBdr>
                  <w:divsChild>
                    <w:div w:id="1899323697">
                      <w:marLeft w:val="0"/>
                      <w:marRight w:val="0"/>
                      <w:marTop w:val="0"/>
                      <w:marBottom w:val="0"/>
                      <w:divBdr>
                        <w:top w:val="none" w:sz="0" w:space="0" w:color="auto"/>
                        <w:left w:val="none" w:sz="0" w:space="0" w:color="auto"/>
                        <w:bottom w:val="none" w:sz="0" w:space="0" w:color="auto"/>
                        <w:right w:val="none" w:sz="0" w:space="0" w:color="auto"/>
                      </w:divBdr>
                      <w:divsChild>
                        <w:div w:id="1047145835">
                          <w:marLeft w:val="0"/>
                          <w:marRight w:val="0"/>
                          <w:marTop w:val="0"/>
                          <w:marBottom w:val="0"/>
                          <w:divBdr>
                            <w:top w:val="none" w:sz="0" w:space="0" w:color="auto"/>
                            <w:left w:val="none" w:sz="0" w:space="0" w:color="auto"/>
                            <w:bottom w:val="none" w:sz="0" w:space="0" w:color="auto"/>
                            <w:right w:val="none" w:sz="0" w:space="0" w:color="auto"/>
                          </w:divBdr>
                          <w:divsChild>
                            <w:div w:id="1386220363">
                              <w:marLeft w:val="0"/>
                              <w:marRight w:val="0"/>
                              <w:marTop w:val="0"/>
                              <w:marBottom w:val="0"/>
                              <w:divBdr>
                                <w:top w:val="none" w:sz="0" w:space="0" w:color="auto"/>
                                <w:left w:val="none" w:sz="0" w:space="0" w:color="auto"/>
                                <w:bottom w:val="none" w:sz="0" w:space="0" w:color="auto"/>
                                <w:right w:val="none" w:sz="0" w:space="0" w:color="auto"/>
                              </w:divBdr>
                              <w:divsChild>
                                <w:div w:id="1089155738">
                                  <w:marLeft w:val="0"/>
                                  <w:marRight w:val="0"/>
                                  <w:marTop w:val="0"/>
                                  <w:marBottom w:val="0"/>
                                  <w:divBdr>
                                    <w:top w:val="none" w:sz="0" w:space="0" w:color="auto"/>
                                    <w:left w:val="none" w:sz="0" w:space="0" w:color="auto"/>
                                    <w:bottom w:val="none" w:sz="0" w:space="0" w:color="auto"/>
                                    <w:right w:val="none" w:sz="0" w:space="0" w:color="auto"/>
                                  </w:divBdr>
                                  <w:divsChild>
                                    <w:div w:id="1619752626">
                                      <w:marLeft w:val="0"/>
                                      <w:marRight w:val="0"/>
                                      <w:marTop w:val="0"/>
                                      <w:marBottom w:val="300"/>
                                      <w:divBdr>
                                        <w:top w:val="none" w:sz="0" w:space="0" w:color="auto"/>
                                        <w:left w:val="none" w:sz="0" w:space="0" w:color="auto"/>
                                        <w:bottom w:val="none" w:sz="0" w:space="0" w:color="auto"/>
                                        <w:right w:val="none" w:sz="0" w:space="0" w:color="auto"/>
                                      </w:divBdr>
                                      <w:divsChild>
                                        <w:div w:id="553198026">
                                          <w:marLeft w:val="0"/>
                                          <w:marRight w:val="0"/>
                                          <w:marTop w:val="0"/>
                                          <w:marBottom w:val="0"/>
                                          <w:divBdr>
                                            <w:top w:val="none" w:sz="0" w:space="0" w:color="auto"/>
                                            <w:left w:val="none" w:sz="0" w:space="0" w:color="auto"/>
                                            <w:bottom w:val="none" w:sz="0" w:space="0" w:color="auto"/>
                                            <w:right w:val="none" w:sz="0" w:space="0" w:color="auto"/>
                                          </w:divBdr>
                                          <w:divsChild>
                                            <w:div w:id="6457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IRA_submission@omb.eop.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justiceinaging.org.customers.tigertech.net/wp-content/uploads/2015/06/Stories-from-the-Field.pdf" TargetMode="External"/><Relationship Id="rId3" Type="http://schemas.openxmlformats.org/officeDocument/2006/relationships/hyperlink" Target="http://www.lgbtmap.org/file/improving-the-lives-of-lgbt-older-adults.pdf" TargetMode="External"/><Relationship Id="rId7" Type="http://schemas.openxmlformats.org/officeDocument/2006/relationships/hyperlink" Target="http://www.cnn.com/2015/06/03/health/senior-gender-transition/index.html" TargetMode="External"/><Relationship Id="rId2" Type="http://schemas.openxmlformats.org/officeDocument/2006/relationships/hyperlink" Target="http://www.sageusa.org/files/LGBT_OAMarketResearch_Rpt.pdf" TargetMode="External"/><Relationship Id="rId1" Type="http://schemas.openxmlformats.org/officeDocument/2006/relationships/hyperlink" Target="http://williamsinstitute.law.ucla.edu/wp-content/uploads/LGBT-Aging-White-Paper.pdf" TargetMode="External"/><Relationship Id="rId6" Type="http://schemas.openxmlformats.org/officeDocument/2006/relationships/hyperlink" Target="http://williamsinstitute.law.ucla.edu/wp-content/uploads/geniuss-report-sep-2014.pdf" TargetMode="External"/><Relationship Id="rId5" Type="http://schemas.openxmlformats.org/officeDocument/2006/relationships/hyperlink" Target="http://www.transequality.org/sites/default/files/docs/usts/USTS%20Full%20Report%20-%20FINAL%201.6.17.pdf" TargetMode="External"/><Relationship Id="rId4" Type="http://schemas.openxmlformats.org/officeDocument/2006/relationships/hyperlink" Target="http://www.lgbtmap.org/file/understanding-issues-facing-lgbt-older-adul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56595-2F0B-4C53-A521-98297E34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Tax</dc:creator>
  <cp:keywords/>
  <dc:description/>
  <cp:lastModifiedBy>Aaron Tax</cp:lastModifiedBy>
  <cp:revision>6</cp:revision>
  <dcterms:created xsi:type="dcterms:W3CDTF">2018-03-12T13:44:00Z</dcterms:created>
  <dcterms:modified xsi:type="dcterms:W3CDTF">2018-03-12T13:45:00Z</dcterms:modified>
</cp:coreProperties>
</file>