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51A2D" w14:textId="170E354E" w:rsidR="00C0704D" w:rsidRPr="007241ED" w:rsidRDefault="006B2A07" w:rsidP="006B2A07">
      <w:pPr>
        <w:jc w:val="center"/>
        <w:rPr>
          <w:b/>
          <w:sz w:val="54"/>
          <w:szCs w:val="54"/>
        </w:rPr>
      </w:pPr>
      <w:r w:rsidRPr="007241ED">
        <w:rPr>
          <w:b/>
          <w:sz w:val="54"/>
          <w:szCs w:val="54"/>
        </w:rPr>
        <w:t xml:space="preserve">SUPPLEMENTAL SECURITY INCOME </w:t>
      </w:r>
    </w:p>
    <w:p w14:paraId="43747972" w14:textId="77777777" w:rsidR="007241ED" w:rsidRDefault="007241ED" w:rsidP="006B2A07">
      <w:pPr>
        <w:jc w:val="center"/>
        <w:rPr>
          <w:i/>
          <w:szCs w:val="72"/>
        </w:rPr>
      </w:pPr>
    </w:p>
    <w:p w14:paraId="6BCFE529" w14:textId="6663EA3F" w:rsidR="007241ED" w:rsidRPr="007241ED" w:rsidRDefault="007241ED" w:rsidP="007241ED">
      <w:pPr>
        <w:jc w:val="center"/>
        <w:rPr>
          <w:i/>
          <w:szCs w:val="72"/>
        </w:rPr>
      </w:pPr>
      <w:r w:rsidRPr="007241ED">
        <w:rPr>
          <w:i/>
          <w:szCs w:val="72"/>
        </w:rPr>
        <w:t>The Leadership Council of Aging Organizations (LCAO) is a coalition of national not-for-profit organizations represent</w:t>
      </w:r>
      <w:r>
        <w:rPr>
          <w:i/>
          <w:szCs w:val="72"/>
        </w:rPr>
        <w:t>ing</w:t>
      </w:r>
      <w:r w:rsidRPr="007241ED">
        <w:rPr>
          <w:i/>
          <w:szCs w:val="72"/>
        </w:rPr>
        <w:t xml:space="preserve"> the interests of 60 million older Americans.</w:t>
      </w:r>
    </w:p>
    <w:p w14:paraId="77CA2BC0" w14:textId="77777777" w:rsidR="00CD4405" w:rsidRDefault="00CD4405" w:rsidP="006B2A07">
      <w:pPr>
        <w:jc w:val="center"/>
        <w:rPr>
          <w:sz w:val="22"/>
          <w:szCs w:val="22"/>
        </w:rPr>
      </w:pPr>
    </w:p>
    <w:p w14:paraId="080B1AAC" w14:textId="77777777" w:rsidR="0086178C" w:rsidRDefault="0086178C" w:rsidP="008E3626">
      <w:pPr>
        <w:pBdr>
          <w:bottom w:val="single" w:sz="6" w:space="1" w:color="auto"/>
        </w:pBdr>
        <w:rPr>
          <w:b/>
          <w:sz w:val="36"/>
          <w:szCs w:val="22"/>
        </w:rPr>
        <w:sectPr w:rsidR="0086178C" w:rsidSect="00E83F0A">
          <w:head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432" w:footer="432" w:gutter="0"/>
          <w:cols w:space="720"/>
          <w:titlePg/>
          <w:docGrid w:linePitch="360"/>
        </w:sectPr>
      </w:pPr>
    </w:p>
    <w:p w14:paraId="760DDC9D" w14:textId="6B7BD0EE" w:rsidR="008E3626" w:rsidRDefault="008E3626" w:rsidP="008E3626">
      <w:pPr>
        <w:pBdr>
          <w:bottom w:val="single" w:sz="6" w:space="1" w:color="auto"/>
        </w:pBdr>
        <w:rPr>
          <w:b/>
          <w:sz w:val="36"/>
          <w:szCs w:val="22"/>
        </w:rPr>
      </w:pPr>
      <w:r w:rsidRPr="008E3626">
        <w:rPr>
          <w:b/>
          <w:sz w:val="36"/>
          <w:szCs w:val="22"/>
        </w:rPr>
        <w:t>SSI OVERVIEW</w:t>
      </w:r>
    </w:p>
    <w:p w14:paraId="1B8D5130" w14:textId="6E45B860" w:rsidR="00B94172" w:rsidRDefault="002C77D9" w:rsidP="00585944">
      <w:pPr>
        <w:jc w:val="both"/>
        <w:rPr>
          <w:sz w:val="24"/>
          <w:szCs w:val="24"/>
        </w:rPr>
      </w:pPr>
      <w:r w:rsidRPr="00835514">
        <w:rPr>
          <w:sz w:val="24"/>
          <w:szCs w:val="24"/>
        </w:rPr>
        <w:t xml:space="preserve">Supplemental Security Income (SSI) is a federal program that provides </w:t>
      </w:r>
      <w:r w:rsidR="00EC61C0" w:rsidRPr="0074747E">
        <w:rPr>
          <w:i/>
          <w:iCs/>
          <w:sz w:val="24"/>
          <w:szCs w:val="24"/>
        </w:rPr>
        <w:t>income</w:t>
      </w:r>
      <w:r w:rsidRPr="0074747E">
        <w:rPr>
          <w:i/>
          <w:iCs/>
          <w:sz w:val="24"/>
          <w:szCs w:val="24"/>
        </w:rPr>
        <w:t xml:space="preserve"> assistance</w:t>
      </w:r>
      <w:r w:rsidRPr="00835514">
        <w:rPr>
          <w:sz w:val="24"/>
          <w:szCs w:val="24"/>
        </w:rPr>
        <w:t xml:space="preserve"> for</w:t>
      </w:r>
      <w:r w:rsidR="00EC61C0" w:rsidRPr="00835514">
        <w:rPr>
          <w:sz w:val="24"/>
          <w:szCs w:val="24"/>
        </w:rPr>
        <w:t xml:space="preserve"> </w:t>
      </w:r>
      <w:r w:rsidR="00F21828">
        <w:rPr>
          <w:sz w:val="24"/>
          <w:szCs w:val="24"/>
        </w:rPr>
        <w:t xml:space="preserve">over 8 </w:t>
      </w:r>
      <w:r w:rsidR="00585944">
        <w:rPr>
          <w:sz w:val="24"/>
          <w:szCs w:val="24"/>
        </w:rPr>
        <w:t xml:space="preserve">million </w:t>
      </w:r>
      <w:r w:rsidR="00EC61C0" w:rsidRPr="00835514">
        <w:rPr>
          <w:sz w:val="24"/>
          <w:szCs w:val="24"/>
        </w:rPr>
        <w:t xml:space="preserve">older </w:t>
      </w:r>
      <w:r w:rsidRPr="00835514">
        <w:rPr>
          <w:sz w:val="24"/>
          <w:szCs w:val="24"/>
        </w:rPr>
        <w:t>Americans a</w:t>
      </w:r>
      <w:r w:rsidR="24EB5112" w:rsidRPr="00835514">
        <w:rPr>
          <w:sz w:val="24"/>
          <w:szCs w:val="24"/>
        </w:rPr>
        <w:t>s well as</w:t>
      </w:r>
      <w:r w:rsidR="00EC61C0" w:rsidRPr="00835514">
        <w:rPr>
          <w:sz w:val="24"/>
          <w:szCs w:val="24"/>
        </w:rPr>
        <w:t xml:space="preserve"> </w:t>
      </w:r>
      <w:r w:rsidRPr="00835514">
        <w:rPr>
          <w:sz w:val="24"/>
          <w:szCs w:val="24"/>
        </w:rPr>
        <w:t>children and adults</w:t>
      </w:r>
      <w:r w:rsidR="00EC61C0" w:rsidRPr="00835514">
        <w:rPr>
          <w:sz w:val="24"/>
          <w:szCs w:val="24"/>
        </w:rPr>
        <w:t xml:space="preserve"> with disabilities in deep poverty</w:t>
      </w:r>
      <w:r w:rsidRPr="00835514">
        <w:rPr>
          <w:sz w:val="24"/>
          <w:szCs w:val="24"/>
        </w:rPr>
        <w:t>.</w:t>
      </w:r>
      <w:r w:rsidR="00EC61C0" w:rsidRPr="00835514">
        <w:rPr>
          <w:sz w:val="24"/>
          <w:szCs w:val="24"/>
        </w:rPr>
        <w:t xml:space="preserve"> </w:t>
      </w:r>
      <w:r w:rsidR="00835514">
        <w:rPr>
          <w:sz w:val="24"/>
          <w:szCs w:val="24"/>
        </w:rPr>
        <w:t>The 2018 monthly maximum federal SSI payment is $750 for an individual and $1,125 for a couple. This equals about $25 per day.</w:t>
      </w:r>
      <w:r w:rsidR="00014E2D">
        <w:rPr>
          <w:sz w:val="24"/>
          <w:szCs w:val="24"/>
        </w:rPr>
        <w:t xml:space="preserve"> </w:t>
      </w:r>
      <w:r w:rsidR="00835514" w:rsidRPr="00585944">
        <w:rPr>
          <w:sz w:val="24"/>
          <w:szCs w:val="24"/>
        </w:rPr>
        <w:t>SSI was signed into law by President Nixon in 1972. He described the program as one that would “mean a big step out of poverty.” In reality,</w:t>
      </w:r>
      <w:r w:rsidR="007241ED" w:rsidRPr="00585944">
        <w:rPr>
          <w:sz w:val="24"/>
          <w:szCs w:val="24"/>
        </w:rPr>
        <w:t xml:space="preserve"> SSI cash benefits fall short of </w:t>
      </w:r>
      <w:r w:rsidR="00585944" w:rsidRPr="00585944">
        <w:rPr>
          <w:sz w:val="24"/>
          <w:szCs w:val="24"/>
        </w:rPr>
        <w:t>federal poverty guidelines.</w:t>
      </w:r>
      <w:r w:rsidR="007241ED" w:rsidRPr="00585944">
        <w:rPr>
          <w:sz w:val="24"/>
          <w:szCs w:val="24"/>
        </w:rPr>
        <w:t xml:space="preserve"> </w:t>
      </w:r>
    </w:p>
    <w:p w14:paraId="4FDD17CF" w14:textId="77777777" w:rsidR="00B94172" w:rsidRDefault="00B94172" w:rsidP="00585944">
      <w:pPr>
        <w:jc w:val="both"/>
        <w:rPr>
          <w:sz w:val="2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53BE1" w14:paraId="1EA3E906" w14:textId="77777777" w:rsidTr="00CA157F">
        <w:trPr>
          <w:trHeight w:val="2213"/>
        </w:trPr>
        <w:tc>
          <w:tcPr>
            <w:tcW w:w="3356" w:type="dxa"/>
          </w:tcPr>
          <w:p w14:paraId="60431E00" w14:textId="77777777" w:rsidR="00954438" w:rsidRPr="00CA157F" w:rsidRDefault="00954438" w:rsidP="00B94172">
            <w:pPr>
              <w:jc w:val="center"/>
            </w:pPr>
          </w:p>
          <w:p w14:paraId="314CA06A" w14:textId="77777777" w:rsidR="00B94172" w:rsidRDefault="00B94172" w:rsidP="00B94172">
            <w:pPr>
              <w:jc w:val="center"/>
              <w:rPr>
                <w:sz w:val="24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771420C" wp14:editId="15215BFA">
                  <wp:extent cx="990600" cy="7213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sh1[1].png"/>
                          <pic:cNvPicPr/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6" t="15129" r="256" b="12051"/>
                          <a:stretch/>
                        </pic:blipFill>
                        <pic:spPr bwMode="auto">
                          <a:xfrm>
                            <a:off x="0" y="0"/>
                            <a:ext cx="1019404" cy="742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EC70B0" w14:textId="77777777" w:rsidR="00954438" w:rsidRDefault="00954438" w:rsidP="00B94172">
            <w:pPr>
              <w:jc w:val="center"/>
              <w:rPr>
                <w:sz w:val="24"/>
                <w:szCs w:val="22"/>
              </w:rPr>
            </w:pPr>
          </w:p>
          <w:p w14:paraId="63B2CB30" w14:textId="77CD9811" w:rsidR="00B94172" w:rsidRPr="00383A55" w:rsidRDefault="00B94172" w:rsidP="00B94172">
            <w:pPr>
              <w:jc w:val="center"/>
              <w:rPr>
                <w:sz w:val="28"/>
                <w:szCs w:val="28"/>
              </w:rPr>
            </w:pPr>
            <w:r w:rsidRPr="00383A55">
              <w:rPr>
                <w:b/>
                <w:sz w:val="28"/>
                <w:szCs w:val="28"/>
              </w:rPr>
              <w:t>$25 p</w:t>
            </w:r>
            <w:r w:rsidR="00954438" w:rsidRPr="00383A55">
              <w:rPr>
                <w:b/>
                <w:sz w:val="28"/>
                <w:szCs w:val="28"/>
              </w:rPr>
              <w:t>er d</w:t>
            </w:r>
            <w:r w:rsidRPr="00383A55">
              <w:rPr>
                <w:b/>
                <w:sz w:val="28"/>
                <w:szCs w:val="28"/>
              </w:rPr>
              <w:t>ay</w:t>
            </w:r>
          </w:p>
          <w:p w14:paraId="54E2111D" w14:textId="3DD2B4DC" w:rsidR="00B94172" w:rsidRDefault="00B94172" w:rsidP="00585944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357" w:type="dxa"/>
          </w:tcPr>
          <w:p w14:paraId="5B9C1335" w14:textId="77777777" w:rsidR="00954438" w:rsidRDefault="00954438" w:rsidP="00B94172">
            <w:pPr>
              <w:jc w:val="center"/>
              <w:rPr>
                <w:noProof/>
              </w:rPr>
            </w:pPr>
          </w:p>
          <w:p w14:paraId="1E0B31DC" w14:textId="77777777" w:rsidR="00B94172" w:rsidRDefault="00B94172" w:rsidP="00B94172">
            <w:pPr>
              <w:jc w:val="center"/>
              <w:rPr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7FFF992" wp14:editId="49852D22">
                  <wp:extent cx="462643" cy="92528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male-44079_640[1]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0" cy="96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721A8" w14:textId="35079227" w:rsidR="00B94172" w:rsidRPr="00383A55" w:rsidRDefault="00B94172" w:rsidP="00B94172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83A55">
              <w:rPr>
                <w:b/>
                <w:sz w:val="28"/>
                <w:szCs w:val="28"/>
              </w:rPr>
              <w:t>2</w:t>
            </w:r>
            <w:r w:rsidR="00B53BE1" w:rsidRPr="00383A55">
              <w:rPr>
                <w:b/>
                <w:sz w:val="28"/>
                <w:szCs w:val="28"/>
              </w:rPr>
              <w:t>.2</w:t>
            </w:r>
            <w:r w:rsidRPr="00383A55">
              <w:rPr>
                <w:b/>
                <w:sz w:val="28"/>
                <w:szCs w:val="28"/>
              </w:rPr>
              <w:t xml:space="preserve"> million seniors</w:t>
            </w:r>
          </w:p>
          <w:p w14:paraId="7FB758C7" w14:textId="1DC775D4" w:rsidR="00B94172" w:rsidRDefault="00B94172" w:rsidP="00B9417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357" w:type="dxa"/>
          </w:tcPr>
          <w:p w14:paraId="1BD67F25" w14:textId="77777777" w:rsidR="00CA157F" w:rsidRPr="00CA157F" w:rsidRDefault="00CA157F" w:rsidP="00B53BE1">
            <w:pPr>
              <w:jc w:val="center"/>
              <w:rPr>
                <w:b/>
                <w:color w:val="538135" w:themeColor="accent6" w:themeShade="BF"/>
              </w:rPr>
            </w:pPr>
          </w:p>
          <w:p w14:paraId="03FF0C58" w14:textId="2C6B2013" w:rsidR="00B53BE1" w:rsidRDefault="00B53BE1" w:rsidP="00B53BE1">
            <w:pPr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  <w:r>
              <w:rPr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24BA35F9" wp14:editId="795EEBB3">
                  <wp:extent cx="482229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ild_in_diaper_icon.svg[2].png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302" cy="70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86D16" w14:textId="77777777" w:rsidR="00CA157F" w:rsidRPr="00CA157F" w:rsidRDefault="00CA157F" w:rsidP="00B53BE1">
            <w:pPr>
              <w:jc w:val="center"/>
              <w:rPr>
                <w:b/>
                <w:color w:val="538135" w:themeColor="accent6" w:themeShade="BF"/>
              </w:rPr>
            </w:pPr>
          </w:p>
          <w:p w14:paraId="37D5C2EE" w14:textId="24AA4B37" w:rsidR="00B94172" w:rsidRPr="00CA157F" w:rsidRDefault="00B53BE1" w:rsidP="00CA157F">
            <w:pPr>
              <w:jc w:val="center"/>
              <w:rPr>
                <w:b/>
                <w:noProof/>
                <w:color w:val="538135" w:themeColor="accent6" w:themeShade="BF"/>
                <w:sz w:val="28"/>
                <w:szCs w:val="28"/>
              </w:rPr>
            </w:pPr>
            <w:r w:rsidRPr="00383A55">
              <w:rPr>
                <w:b/>
                <w:sz w:val="28"/>
                <w:szCs w:val="28"/>
              </w:rPr>
              <w:t>6 million children &amp; adults with disabilities</w:t>
            </w:r>
          </w:p>
        </w:tc>
      </w:tr>
    </w:tbl>
    <w:p w14:paraId="6388DCB8" w14:textId="15831052" w:rsidR="00CA157F" w:rsidRDefault="00CE66DD" w:rsidP="00CA157F">
      <w:pPr>
        <w:pBdr>
          <w:bottom w:val="single" w:sz="6" w:space="1" w:color="auto"/>
        </w:pBdr>
        <w:rPr>
          <w:b/>
          <w:sz w:val="36"/>
          <w:szCs w:val="22"/>
        </w:rPr>
      </w:pPr>
      <w:r>
        <w:rPr>
          <w:b/>
          <w:sz w:val="36"/>
          <w:szCs w:val="22"/>
        </w:rPr>
        <w:t>STRENGTHENING SSI</w:t>
      </w:r>
    </w:p>
    <w:p w14:paraId="40D9C102" w14:textId="77777777" w:rsidR="00E83F0A" w:rsidRDefault="00014E2D" w:rsidP="00585944">
      <w:pPr>
        <w:jc w:val="both"/>
        <w:rPr>
          <w:sz w:val="24"/>
          <w:szCs w:val="22"/>
        </w:rPr>
      </w:pPr>
      <w:r>
        <w:rPr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 wp14:anchorId="7E6A56E9" wp14:editId="47DDE666">
            <wp:simplePos x="0" y="0"/>
            <wp:positionH relativeFrom="margin">
              <wp:align>left</wp:align>
            </wp:positionH>
            <wp:positionV relativeFrom="paragraph">
              <wp:posOffset>765810</wp:posOffset>
            </wp:positionV>
            <wp:extent cx="2718435" cy="2418715"/>
            <wp:effectExtent l="0" t="0" r="5715" b="635"/>
            <wp:wrapSquare wrapText="bothSides"/>
            <wp:docPr id="5" name="Picture 5" descr="C:\Users\Jasmine Jefferson\Creative Cloud Files\SSI Grap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ne Jefferson\Creative Cloud Files\SSI Graph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57F">
        <w:rPr>
          <w:sz w:val="24"/>
          <w:szCs w:val="22"/>
        </w:rPr>
        <w:t xml:space="preserve">There are several </w:t>
      </w:r>
      <w:r w:rsidR="0074747E">
        <w:rPr>
          <w:sz w:val="24"/>
          <w:szCs w:val="22"/>
        </w:rPr>
        <w:t xml:space="preserve">ways </w:t>
      </w:r>
      <w:r w:rsidR="005301CF">
        <w:rPr>
          <w:sz w:val="24"/>
          <w:szCs w:val="22"/>
        </w:rPr>
        <w:t xml:space="preserve">the </w:t>
      </w:r>
      <w:r w:rsidR="00F21828">
        <w:rPr>
          <w:sz w:val="24"/>
          <w:szCs w:val="22"/>
        </w:rPr>
        <w:t>SSI Program</w:t>
      </w:r>
      <w:r w:rsidR="0074747E">
        <w:rPr>
          <w:sz w:val="24"/>
          <w:szCs w:val="22"/>
        </w:rPr>
        <w:t xml:space="preserve"> could be strengthened</w:t>
      </w:r>
      <w:r w:rsidR="00F21828">
        <w:rPr>
          <w:sz w:val="24"/>
          <w:szCs w:val="22"/>
        </w:rPr>
        <w:t>.</w:t>
      </w:r>
      <w:r w:rsidR="005301CF">
        <w:rPr>
          <w:sz w:val="24"/>
          <w:szCs w:val="22"/>
        </w:rPr>
        <w:t xml:space="preserve"> SSI benefits were last modernized to meet inflation levels nearly 30 years ago.</w:t>
      </w:r>
      <w:r w:rsidR="00013E11" w:rsidRPr="00013E11">
        <w:rPr>
          <w:rStyle w:val="FootnoteReference"/>
          <w:sz w:val="24"/>
          <w:szCs w:val="22"/>
        </w:rPr>
        <w:t xml:space="preserve"> </w:t>
      </w:r>
      <w:r w:rsidR="00013E11">
        <w:rPr>
          <w:rStyle w:val="FootnoteReference"/>
          <w:sz w:val="24"/>
          <w:szCs w:val="22"/>
        </w:rPr>
        <w:footnoteReference w:id="1"/>
      </w:r>
      <w:r w:rsidR="005301CF">
        <w:rPr>
          <w:sz w:val="24"/>
          <w:szCs w:val="22"/>
        </w:rPr>
        <w:t xml:space="preserve"> Today’s SSI requirements are outdated, and adversely effecting its recipients. Americans who receive SSI are limited to saving $2,000</w:t>
      </w:r>
      <w:r w:rsidR="00CE66DD">
        <w:rPr>
          <w:sz w:val="24"/>
          <w:szCs w:val="22"/>
        </w:rPr>
        <w:t xml:space="preserve"> ($3,000 for a couple). This can prevent saving for emergency situations, like necessary home and car repairs.</w:t>
      </w:r>
      <w:r w:rsidR="002C4909" w:rsidRPr="002C4909">
        <w:t xml:space="preserve"> </w:t>
      </w:r>
      <w:r w:rsidR="002C4909" w:rsidRPr="002C4909">
        <w:rPr>
          <w:sz w:val="24"/>
          <w:szCs w:val="22"/>
        </w:rPr>
        <w:t xml:space="preserve">SSI benefits are </w:t>
      </w:r>
      <w:r w:rsidR="002C4909">
        <w:rPr>
          <w:sz w:val="24"/>
          <w:szCs w:val="22"/>
        </w:rPr>
        <w:t xml:space="preserve">also </w:t>
      </w:r>
      <w:r w:rsidR="0074747E">
        <w:rPr>
          <w:sz w:val="24"/>
          <w:szCs w:val="22"/>
        </w:rPr>
        <w:t>significantly</w:t>
      </w:r>
      <w:r w:rsidR="002C4909">
        <w:rPr>
          <w:sz w:val="24"/>
          <w:szCs w:val="22"/>
        </w:rPr>
        <w:t xml:space="preserve"> </w:t>
      </w:r>
      <w:r w:rsidR="002C4909" w:rsidRPr="002C4909">
        <w:rPr>
          <w:sz w:val="24"/>
          <w:szCs w:val="22"/>
        </w:rPr>
        <w:t>reduced when a recipient receives non-employment income over $20 a month, or earned income over $65</w:t>
      </w:r>
      <w:r w:rsidR="002C4909">
        <w:rPr>
          <w:sz w:val="24"/>
          <w:szCs w:val="22"/>
        </w:rPr>
        <w:t>.</w:t>
      </w:r>
      <w:r w:rsidR="00EC0CB0">
        <w:rPr>
          <w:sz w:val="24"/>
          <w:szCs w:val="22"/>
        </w:rPr>
        <w:t xml:space="preserve"> This means a recipient</w:t>
      </w:r>
      <w:r w:rsidR="000F6936">
        <w:rPr>
          <w:sz w:val="24"/>
          <w:szCs w:val="22"/>
        </w:rPr>
        <w:t xml:space="preserve"> who already has an extremely low income </w:t>
      </w:r>
      <w:r w:rsidR="00180574">
        <w:rPr>
          <w:sz w:val="24"/>
          <w:szCs w:val="22"/>
        </w:rPr>
        <w:t xml:space="preserve">is forced to remain </w:t>
      </w:r>
      <w:r w:rsidR="002C4909">
        <w:rPr>
          <w:sz w:val="24"/>
          <w:szCs w:val="22"/>
        </w:rPr>
        <w:t>below the poverty level</w:t>
      </w:r>
      <w:r w:rsidR="00180574">
        <w:rPr>
          <w:sz w:val="24"/>
          <w:szCs w:val="22"/>
        </w:rPr>
        <w:t>, even if they have other sources of income,</w:t>
      </w:r>
      <w:r w:rsidR="002C4909">
        <w:rPr>
          <w:sz w:val="24"/>
          <w:szCs w:val="22"/>
        </w:rPr>
        <w:t xml:space="preserve"> like Social Security retirement benefits.</w:t>
      </w:r>
      <w:r w:rsidR="00180574">
        <w:rPr>
          <w:sz w:val="24"/>
          <w:szCs w:val="22"/>
        </w:rPr>
        <w:t xml:space="preserve"> </w:t>
      </w:r>
      <w:r w:rsidR="000F6936">
        <w:rPr>
          <w:sz w:val="24"/>
          <w:szCs w:val="22"/>
        </w:rPr>
        <w:t>Another challenge for SSI recipients is the “in-kind support and maintenance provision</w:t>
      </w:r>
      <w:r w:rsidR="00180574">
        <w:rPr>
          <w:sz w:val="24"/>
          <w:szCs w:val="22"/>
        </w:rPr>
        <w:t>,</w:t>
      </w:r>
      <w:r w:rsidR="000F6936">
        <w:rPr>
          <w:sz w:val="24"/>
          <w:szCs w:val="22"/>
        </w:rPr>
        <w:t xml:space="preserve">” which reduces </w:t>
      </w:r>
      <w:r w:rsidR="00180574">
        <w:rPr>
          <w:sz w:val="24"/>
          <w:szCs w:val="22"/>
        </w:rPr>
        <w:t xml:space="preserve">SSI benefits when </w:t>
      </w:r>
      <w:r w:rsidR="002C4909">
        <w:rPr>
          <w:sz w:val="24"/>
          <w:szCs w:val="22"/>
        </w:rPr>
        <w:t>a</w:t>
      </w:r>
      <w:r w:rsidR="00180574">
        <w:rPr>
          <w:sz w:val="24"/>
          <w:szCs w:val="22"/>
        </w:rPr>
        <w:t xml:space="preserve"> person receives </w:t>
      </w:r>
      <w:r w:rsidR="002C3E7D">
        <w:rPr>
          <w:sz w:val="24"/>
          <w:szCs w:val="22"/>
        </w:rPr>
        <w:t xml:space="preserve">certain free or reduced rate </w:t>
      </w:r>
      <w:r w:rsidR="000F6936">
        <w:rPr>
          <w:sz w:val="24"/>
          <w:szCs w:val="22"/>
        </w:rPr>
        <w:t>food and shelter. This means that recipients cannot receive assistance of food or shelter from family members</w:t>
      </w:r>
      <w:r w:rsidR="00180574">
        <w:rPr>
          <w:sz w:val="24"/>
          <w:szCs w:val="22"/>
        </w:rPr>
        <w:t xml:space="preserve"> without losing </w:t>
      </w:r>
      <w:r w:rsidR="002C3E7D">
        <w:rPr>
          <w:sz w:val="24"/>
          <w:szCs w:val="22"/>
        </w:rPr>
        <w:t xml:space="preserve">a significant portion of their </w:t>
      </w:r>
      <w:r w:rsidR="00180574">
        <w:rPr>
          <w:sz w:val="24"/>
          <w:szCs w:val="22"/>
        </w:rPr>
        <w:t>benefits</w:t>
      </w:r>
      <w:r w:rsidR="000F6936">
        <w:rPr>
          <w:sz w:val="24"/>
          <w:szCs w:val="22"/>
        </w:rPr>
        <w:t xml:space="preserve">. This provision also creates a significant administrative burden on the Social Security Administration, which must determine the value of the food and shelter provided.    </w:t>
      </w:r>
    </w:p>
    <w:p w14:paraId="0F0CAD5B" w14:textId="6146E947" w:rsidR="00BA145F" w:rsidRPr="00B94172" w:rsidRDefault="00BA145F" w:rsidP="00E83F0A">
      <w:pPr>
        <w:jc w:val="both"/>
        <w:rPr>
          <w:b/>
          <w:sz w:val="36"/>
          <w:szCs w:val="34"/>
        </w:rPr>
      </w:pPr>
      <w:bookmarkStart w:id="0" w:name="_GoBack"/>
      <w:bookmarkEnd w:id="0"/>
      <w:r w:rsidRPr="00B94172">
        <w:rPr>
          <w:b/>
          <w:sz w:val="36"/>
          <w:szCs w:val="34"/>
        </w:rPr>
        <w:lastRenderedPageBreak/>
        <w:t>WHAT CONGRESS CAN DO</w:t>
      </w:r>
    </w:p>
    <w:p w14:paraId="176E2829" w14:textId="7389DB26" w:rsidR="00E812B7" w:rsidRDefault="00BA1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Congress should </w:t>
      </w:r>
      <w:r w:rsidR="004743D9">
        <w:rPr>
          <w:sz w:val="24"/>
          <w:szCs w:val="24"/>
        </w:rPr>
        <w:t>pass the “Supplemental Security Income Restoration Act of 2017.” The bill would provide some sorely needed updates to this long-neglected program. SSI</w:t>
      </w:r>
      <w:r w:rsidR="005301CF">
        <w:rPr>
          <w:sz w:val="24"/>
          <w:szCs w:val="24"/>
        </w:rPr>
        <w:t xml:space="preserve"> resources limits would increase from $2,000 to $10,000</w:t>
      </w:r>
      <w:r w:rsidR="004743D9">
        <w:rPr>
          <w:sz w:val="24"/>
          <w:szCs w:val="24"/>
        </w:rPr>
        <w:t xml:space="preserve">. </w:t>
      </w:r>
    </w:p>
    <w:p w14:paraId="59F17C39" w14:textId="77777777" w:rsidR="0074747E" w:rsidRPr="0074747E" w:rsidRDefault="0074747E">
      <w:pPr>
        <w:jc w:val="both"/>
        <w:rPr>
          <w:sz w:val="24"/>
          <w:szCs w:val="24"/>
        </w:rPr>
      </w:pPr>
    </w:p>
    <w:p w14:paraId="522E7554" w14:textId="3F0CDB46" w:rsidR="00E812B7" w:rsidRDefault="004743D9" w:rsidP="00585944">
      <w:pPr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180574">
        <w:rPr>
          <w:sz w:val="24"/>
          <w:szCs w:val="24"/>
        </w:rPr>
        <w:t xml:space="preserve">e current resource limits </w:t>
      </w:r>
      <w:r>
        <w:rPr>
          <w:sz w:val="24"/>
          <w:szCs w:val="24"/>
        </w:rPr>
        <w:t>create cycles of poverty</w:t>
      </w:r>
      <w:r w:rsidR="00D913F8">
        <w:rPr>
          <w:sz w:val="24"/>
          <w:szCs w:val="24"/>
        </w:rPr>
        <w:t xml:space="preserve">, eliminating any chance of financial independence </w:t>
      </w:r>
      <w:r w:rsidR="00180574">
        <w:rPr>
          <w:sz w:val="24"/>
          <w:szCs w:val="24"/>
        </w:rPr>
        <w:t xml:space="preserve">as people are unable to save enough to cover life expenses, like </w:t>
      </w:r>
      <w:r w:rsidR="003D2D58">
        <w:rPr>
          <w:sz w:val="24"/>
          <w:szCs w:val="24"/>
        </w:rPr>
        <w:t>dental care</w:t>
      </w:r>
      <w:r w:rsidR="00D913F8">
        <w:rPr>
          <w:sz w:val="24"/>
          <w:szCs w:val="24"/>
        </w:rPr>
        <w:t xml:space="preserve">, </w:t>
      </w:r>
      <w:r w:rsidR="003D2D58">
        <w:rPr>
          <w:sz w:val="24"/>
          <w:szCs w:val="24"/>
        </w:rPr>
        <w:t>car repairs</w:t>
      </w:r>
      <w:r w:rsidR="00D913F8">
        <w:rPr>
          <w:sz w:val="24"/>
          <w:szCs w:val="24"/>
        </w:rPr>
        <w:t>,</w:t>
      </w:r>
      <w:r w:rsidR="00180574">
        <w:rPr>
          <w:sz w:val="24"/>
          <w:szCs w:val="24"/>
        </w:rPr>
        <w:t xml:space="preserve"> or </w:t>
      </w:r>
      <w:r w:rsidR="003D2D58">
        <w:rPr>
          <w:sz w:val="24"/>
          <w:szCs w:val="24"/>
        </w:rPr>
        <w:t xml:space="preserve">a </w:t>
      </w:r>
      <w:r w:rsidR="00D913F8">
        <w:rPr>
          <w:sz w:val="24"/>
          <w:szCs w:val="24"/>
        </w:rPr>
        <w:t xml:space="preserve">broken </w:t>
      </w:r>
      <w:r w:rsidR="003D2D58">
        <w:rPr>
          <w:sz w:val="24"/>
          <w:szCs w:val="24"/>
        </w:rPr>
        <w:t>furnace</w:t>
      </w:r>
      <w:r w:rsidR="00337542">
        <w:rPr>
          <w:sz w:val="24"/>
          <w:szCs w:val="24"/>
        </w:rPr>
        <w:t>.</w:t>
      </w:r>
      <w:r w:rsidR="0060510A">
        <w:rPr>
          <w:sz w:val="24"/>
          <w:szCs w:val="24"/>
        </w:rPr>
        <w:t xml:space="preserve"> The SSI Restoration Act of 2017 would increase the SSI resource limit, </w:t>
      </w:r>
      <w:r w:rsidR="002C4909">
        <w:rPr>
          <w:sz w:val="24"/>
          <w:szCs w:val="24"/>
        </w:rPr>
        <w:t xml:space="preserve">and update </w:t>
      </w:r>
      <w:r w:rsidR="0060510A">
        <w:rPr>
          <w:sz w:val="24"/>
          <w:szCs w:val="24"/>
        </w:rPr>
        <w:t>the General Income Disregard, and Earned Income Disregard</w:t>
      </w:r>
      <w:r w:rsidR="002C4909">
        <w:rPr>
          <w:sz w:val="24"/>
          <w:szCs w:val="24"/>
        </w:rPr>
        <w:t xml:space="preserve"> that severely reduce SSI benefits when a person has any other sources of income</w:t>
      </w:r>
      <w:r w:rsidR="0060510A">
        <w:rPr>
          <w:sz w:val="24"/>
          <w:szCs w:val="24"/>
        </w:rPr>
        <w:t xml:space="preserve">. The bill </w:t>
      </w:r>
      <w:r w:rsidR="002C4909">
        <w:rPr>
          <w:sz w:val="24"/>
          <w:szCs w:val="24"/>
        </w:rPr>
        <w:t xml:space="preserve">also </w:t>
      </w:r>
      <w:r w:rsidR="0060510A">
        <w:rPr>
          <w:sz w:val="24"/>
          <w:szCs w:val="24"/>
        </w:rPr>
        <w:t>prevents the reduction of benefits for the receipt of in-kind support.</w:t>
      </w:r>
    </w:p>
    <w:p w14:paraId="6C2F3880" w14:textId="6B44DE2D" w:rsidR="0074747E" w:rsidRDefault="0074747E" w:rsidP="00585944">
      <w:pPr>
        <w:jc w:val="both"/>
        <w:rPr>
          <w:sz w:val="24"/>
          <w:szCs w:val="24"/>
        </w:rPr>
      </w:pPr>
      <w:r>
        <w:rPr>
          <w:noProof/>
          <w:sz w:val="24"/>
          <w:szCs w:val="22"/>
        </w:rPr>
        <w:drawing>
          <wp:anchor distT="0" distB="0" distL="114300" distR="114300" simplePos="0" relativeHeight="251659264" behindDoc="1" locked="0" layoutInCell="1" allowOverlap="1" wp14:anchorId="56CDF9B9" wp14:editId="3211AB0A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459105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510" y="21506"/>
                <wp:lineTo x="21510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66E2EA41" w14:textId="03F749E0" w:rsidR="001D24C9" w:rsidRDefault="00E812B7" w:rsidP="00585944">
      <w:pPr>
        <w:jc w:val="both"/>
        <w:rPr>
          <w:sz w:val="24"/>
          <w:szCs w:val="24"/>
        </w:rPr>
      </w:pPr>
      <w:r>
        <w:rPr>
          <w:sz w:val="24"/>
          <w:szCs w:val="24"/>
        </w:rPr>
        <w:t>SSI is a minute part of the overall federal budget and its expense is beginning to decrease</w:t>
      </w:r>
      <w:r w:rsidR="007117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83F0A">
        <w:rPr>
          <w:sz w:val="24"/>
          <w:szCs w:val="24"/>
        </w:rPr>
        <w:t xml:space="preserve">The cost of </w:t>
      </w:r>
      <w:r w:rsidR="00711701">
        <w:rPr>
          <w:sz w:val="24"/>
          <w:szCs w:val="24"/>
        </w:rPr>
        <w:t xml:space="preserve">SSI </w:t>
      </w:r>
      <w:r w:rsidR="00E83F0A">
        <w:rPr>
          <w:sz w:val="24"/>
          <w:szCs w:val="24"/>
        </w:rPr>
        <w:t>is</w:t>
      </w:r>
      <w:r w:rsidR="003D2D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expected to continue to </w:t>
      </w:r>
      <w:r w:rsidR="003D2D58">
        <w:rPr>
          <w:sz w:val="24"/>
          <w:szCs w:val="24"/>
        </w:rPr>
        <w:t xml:space="preserve">decrease as a percentage of GDP </w:t>
      </w:r>
      <w:r>
        <w:rPr>
          <w:sz w:val="24"/>
          <w:szCs w:val="24"/>
        </w:rPr>
        <w:t>over the next decade</w:t>
      </w:r>
      <w:r w:rsidR="003D2D58">
        <w:rPr>
          <w:sz w:val="24"/>
          <w:szCs w:val="24"/>
        </w:rPr>
        <w:t>,</w:t>
      </w:r>
      <w:r w:rsidR="00711701">
        <w:rPr>
          <w:sz w:val="24"/>
          <w:szCs w:val="24"/>
        </w:rPr>
        <w:t xml:space="preserve"> making it an even more affordable program</w:t>
      </w:r>
      <w:r w:rsidR="00383A55">
        <w:rPr>
          <w:sz w:val="24"/>
          <w:szCs w:val="24"/>
        </w:rPr>
        <w:t xml:space="preserve"> to help the most vulnerable groups in the United States</w:t>
      </w:r>
      <w:r>
        <w:rPr>
          <w:sz w:val="24"/>
          <w:szCs w:val="24"/>
        </w:rPr>
        <w:t xml:space="preserve">.  </w:t>
      </w:r>
      <w:r w:rsidR="0060510A">
        <w:rPr>
          <w:sz w:val="24"/>
          <w:szCs w:val="24"/>
        </w:rPr>
        <w:t xml:space="preserve"> </w:t>
      </w:r>
      <w:r w:rsidR="004743D9">
        <w:rPr>
          <w:sz w:val="24"/>
          <w:szCs w:val="24"/>
        </w:rPr>
        <w:t xml:space="preserve">   </w:t>
      </w:r>
    </w:p>
    <w:p w14:paraId="7B89B709" w14:textId="7867AE92" w:rsidR="00B94172" w:rsidRDefault="00B94172" w:rsidP="00585944">
      <w:pPr>
        <w:jc w:val="both"/>
        <w:rPr>
          <w:sz w:val="24"/>
          <w:szCs w:val="22"/>
        </w:rPr>
        <w:sectPr w:rsidR="00B94172" w:rsidSect="00B94172">
          <w:type w:val="continuous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</w:p>
    <w:p w14:paraId="6F07F58D" w14:textId="279E9A4B" w:rsidR="00BA145F" w:rsidRDefault="00BA145F" w:rsidP="00585944">
      <w:pPr>
        <w:jc w:val="both"/>
        <w:rPr>
          <w:sz w:val="24"/>
          <w:szCs w:val="22"/>
        </w:rPr>
      </w:pPr>
    </w:p>
    <w:p w14:paraId="09F61259" w14:textId="77777777" w:rsidR="00013E11" w:rsidRDefault="00013E11" w:rsidP="00585944">
      <w:pPr>
        <w:jc w:val="both"/>
        <w:rPr>
          <w:sz w:val="24"/>
          <w:szCs w:val="22"/>
        </w:rPr>
        <w:sectPr w:rsidR="00013E11" w:rsidSect="0086178C">
          <w:type w:val="continuous"/>
          <w:pgSz w:w="12240" w:h="15840" w:code="1"/>
          <w:pgMar w:top="1440" w:right="1080" w:bottom="1440" w:left="1080" w:header="720" w:footer="432" w:gutter="0"/>
          <w:cols w:num="2" w:space="720"/>
          <w:titlePg/>
          <w:docGrid w:linePitch="360"/>
        </w:sectPr>
      </w:pPr>
    </w:p>
    <w:p w14:paraId="3CA33BCD" w14:textId="48319D85" w:rsidR="00013E11" w:rsidRDefault="00013E11" w:rsidP="00E812B7">
      <w:pPr>
        <w:rPr>
          <w:sz w:val="24"/>
          <w:szCs w:val="22"/>
        </w:rPr>
        <w:sectPr w:rsidR="00013E11" w:rsidSect="00013E11">
          <w:type w:val="continuous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</w:p>
    <w:p w14:paraId="121895A7" w14:textId="402A9502" w:rsidR="00013E11" w:rsidRPr="00585944" w:rsidRDefault="00013E11" w:rsidP="00585944">
      <w:pPr>
        <w:jc w:val="both"/>
        <w:rPr>
          <w:sz w:val="24"/>
          <w:szCs w:val="22"/>
        </w:rPr>
      </w:pPr>
    </w:p>
    <w:sectPr w:rsidR="00013E11" w:rsidRPr="00585944" w:rsidSect="0074747E">
      <w:type w:val="continuous"/>
      <w:pgSz w:w="12240" w:h="15840" w:code="1"/>
      <w:pgMar w:top="1440" w:right="1080" w:bottom="1440" w:left="1080" w:header="720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0046" w14:textId="77777777" w:rsidR="00D10498" w:rsidRDefault="00D10498">
      <w:r>
        <w:separator/>
      </w:r>
    </w:p>
  </w:endnote>
  <w:endnote w:type="continuationSeparator" w:id="0">
    <w:p w14:paraId="11F2A497" w14:textId="77777777" w:rsidR="00D10498" w:rsidRDefault="00D1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E73" w14:textId="77777777" w:rsidR="00631B6B" w:rsidRPr="00012760" w:rsidRDefault="008A4987" w:rsidP="00C0704D">
    <w:pPr>
      <w:ind w:left="-180"/>
      <w:jc w:val="center"/>
      <w:rPr>
        <w:sz w:val="18"/>
        <w:szCs w:val="18"/>
      </w:rPr>
    </w:pPr>
    <w:r w:rsidRPr="00012760">
      <w:rPr>
        <w:sz w:val="18"/>
        <w:szCs w:val="18"/>
      </w:rPr>
      <w:t>251 18</w:t>
    </w:r>
    <w:r w:rsidRPr="00012760">
      <w:rPr>
        <w:sz w:val="18"/>
        <w:szCs w:val="18"/>
        <w:vertAlign w:val="superscript"/>
      </w:rPr>
      <w:t>th</w:t>
    </w:r>
    <w:r w:rsidRPr="00012760">
      <w:rPr>
        <w:sz w:val="18"/>
        <w:szCs w:val="18"/>
      </w:rPr>
      <w:t xml:space="preserve"> Street South, Suite 500</w:t>
    </w:r>
    <w:r w:rsidR="006B20CE" w:rsidRPr="00012760">
      <w:rPr>
        <w:sz w:val="18"/>
        <w:szCs w:val="18"/>
      </w:rPr>
      <w:t xml:space="preserve">, </w:t>
    </w:r>
    <w:r w:rsidRPr="00012760">
      <w:rPr>
        <w:sz w:val="18"/>
        <w:szCs w:val="18"/>
      </w:rPr>
      <w:t>Arlington, VA 22202 ♦ (571</w:t>
    </w:r>
    <w:r w:rsidR="00631B6B" w:rsidRPr="00012760">
      <w:rPr>
        <w:sz w:val="18"/>
        <w:szCs w:val="18"/>
      </w:rPr>
      <w:t xml:space="preserve">) </w:t>
    </w:r>
    <w:r w:rsidRPr="00012760">
      <w:rPr>
        <w:sz w:val="18"/>
        <w:szCs w:val="18"/>
      </w:rPr>
      <w:t>527-3900 ♦ (571</w:t>
    </w:r>
    <w:r w:rsidR="00631B6B" w:rsidRPr="00012760">
      <w:rPr>
        <w:sz w:val="18"/>
        <w:szCs w:val="18"/>
      </w:rPr>
      <w:t xml:space="preserve">) </w:t>
    </w:r>
    <w:r w:rsidRPr="00012760">
      <w:rPr>
        <w:sz w:val="18"/>
        <w:szCs w:val="18"/>
      </w:rPr>
      <w:t>527-3901</w:t>
    </w:r>
    <w:r w:rsidR="00631B6B" w:rsidRPr="00012760">
      <w:rPr>
        <w:sz w:val="18"/>
        <w:szCs w:val="18"/>
      </w:rPr>
      <w:t xml:space="preserve"> (Fax)</w:t>
    </w:r>
  </w:p>
  <w:p w14:paraId="00D176C0" w14:textId="5FC6240D" w:rsidR="00631B6B" w:rsidRPr="00DA3289" w:rsidRDefault="00631B6B" w:rsidP="00C0704D">
    <w:pPr>
      <w:ind w:left="-180"/>
      <w:jc w:val="center"/>
    </w:pPr>
    <w:r w:rsidRPr="00012760">
      <w:rPr>
        <w:sz w:val="18"/>
        <w:szCs w:val="18"/>
      </w:rPr>
      <w:t>Email: LCAO@</w:t>
    </w:r>
    <w:r w:rsidR="00012760" w:rsidRPr="00012760">
      <w:rPr>
        <w:sz w:val="18"/>
        <w:szCs w:val="18"/>
      </w:rPr>
      <w:t>NCOA</w:t>
    </w:r>
    <w:r w:rsidRPr="00012760">
      <w:rPr>
        <w:sz w:val="18"/>
        <w:szCs w:val="18"/>
      </w:rPr>
      <w:t>.org ♦ Website: www.LCAO.org</w:t>
    </w:r>
  </w:p>
  <w:p w14:paraId="7EC55679" w14:textId="77777777" w:rsidR="00631B6B" w:rsidRDefault="00631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B0C09" w14:textId="77777777" w:rsidR="00D10498" w:rsidRDefault="00D10498">
      <w:r>
        <w:separator/>
      </w:r>
    </w:p>
  </w:footnote>
  <w:footnote w:type="continuationSeparator" w:id="0">
    <w:p w14:paraId="63E55106" w14:textId="77777777" w:rsidR="00D10498" w:rsidRDefault="00D10498">
      <w:r>
        <w:continuationSeparator/>
      </w:r>
    </w:p>
  </w:footnote>
  <w:footnote w:id="1">
    <w:p w14:paraId="3F98B991" w14:textId="4C2FC0C4" w:rsidR="00013E11" w:rsidRDefault="00013E11" w:rsidP="00013E11">
      <w:pPr>
        <w:pStyle w:val="FootnoteText"/>
      </w:pPr>
      <w:r>
        <w:rPr>
          <w:rStyle w:val="FootnoteReference"/>
        </w:rPr>
        <w:footnoteRef/>
      </w:r>
      <w:r>
        <w:t xml:space="preserve"> Graph: </w:t>
      </w:r>
      <w:r w:rsidRPr="00014E2D">
        <w:t>https://www.cbpp.org/research/social-security/policy-basics-supplemental-security-income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9883" w14:textId="77777777" w:rsidR="00631B6B" w:rsidRDefault="00631B6B">
    <w:pPr>
      <w:pStyle w:val="Header"/>
    </w:pPr>
  </w:p>
  <w:p w14:paraId="6B4FB2E7" w14:textId="77777777" w:rsidR="00631B6B" w:rsidRDefault="00631B6B">
    <w:pPr>
      <w:pStyle w:val="Header"/>
    </w:pPr>
  </w:p>
  <w:p w14:paraId="6B8F3589" w14:textId="77777777" w:rsidR="00631B6B" w:rsidRDefault="00631B6B">
    <w:pPr>
      <w:pStyle w:val="Header"/>
    </w:pPr>
  </w:p>
  <w:p w14:paraId="7005BF14" w14:textId="77777777" w:rsidR="00631B6B" w:rsidRDefault="00631B6B">
    <w:pPr>
      <w:pStyle w:val="Header"/>
    </w:pPr>
  </w:p>
  <w:p w14:paraId="27805B47" w14:textId="77777777" w:rsidR="00631B6B" w:rsidRDefault="00631B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C604" w14:textId="715AC9F0" w:rsidR="00BA145F" w:rsidRDefault="00E83F0A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9BAC9DC" wp14:editId="34151EAA">
          <wp:simplePos x="0" y="0"/>
          <wp:positionH relativeFrom="margin">
            <wp:align>center</wp:align>
          </wp:positionH>
          <wp:positionV relativeFrom="paragraph">
            <wp:posOffset>182880</wp:posOffset>
          </wp:positionV>
          <wp:extent cx="3594735" cy="692150"/>
          <wp:effectExtent l="0" t="0" r="5715" b="0"/>
          <wp:wrapTopAndBottom/>
          <wp:docPr id="3" name="Picture 3" descr="pri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n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735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687C" w14:textId="77777777" w:rsidR="00BA145F" w:rsidRDefault="00BA145F">
    <w:pPr>
      <w:pStyle w:val="Header"/>
    </w:pPr>
  </w:p>
  <w:p w14:paraId="17779F76" w14:textId="7A823C93" w:rsidR="00480363" w:rsidRDefault="00480363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9048B"/>
    <w:multiLevelType w:val="hybridMultilevel"/>
    <w:tmpl w:val="A370A552"/>
    <w:lvl w:ilvl="0" w:tplc="326254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B48B8"/>
    <w:multiLevelType w:val="hybridMultilevel"/>
    <w:tmpl w:val="1DEC3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9165A"/>
    <w:multiLevelType w:val="hybridMultilevel"/>
    <w:tmpl w:val="4A8A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95"/>
    <w:rsid w:val="00012760"/>
    <w:rsid w:val="00013E11"/>
    <w:rsid w:val="00014E2D"/>
    <w:rsid w:val="00023137"/>
    <w:rsid w:val="0003731C"/>
    <w:rsid w:val="0005769A"/>
    <w:rsid w:val="00077FCE"/>
    <w:rsid w:val="000A2C6A"/>
    <w:rsid w:val="000A7968"/>
    <w:rsid w:val="000B7B90"/>
    <w:rsid w:val="000C33FB"/>
    <w:rsid w:val="000D2EAE"/>
    <w:rsid w:val="000F6936"/>
    <w:rsid w:val="00110FCC"/>
    <w:rsid w:val="00133983"/>
    <w:rsid w:val="001515CF"/>
    <w:rsid w:val="00162E8F"/>
    <w:rsid w:val="001632D0"/>
    <w:rsid w:val="00180574"/>
    <w:rsid w:val="001D24C9"/>
    <w:rsid w:val="001E4D4D"/>
    <w:rsid w:val="001F1CC5"/>
    <w:rsid w:val="002148E1"/>
    <w:rsid w:val="00230F7F"/>
    <w:rsid w:val="00243ACD"/>
    <w:rsid w:val="00244DD0"/>
    <w:rsid w:val="00255693"/>
    <w:rsid w:val="0026612B"/>
    <w:rsid w:val="00293DB4"/>
    <w:rsid w:val="002B3093"/>
    <w:rsid w:val="002C3E7D"/>
    <w:rsid w:val="002C4909"/>
    <w:rsid w:val="002C4FA6"/>
    <w:rsid w:val="002C77D9"/>
    <w:rsid w:val="002D5817"/>
    <w:rsid w:val="002F1210"/>
    <w:rsid w:val="0030193D"/>
    <w:rsid w:val="0031678D"/>
    <w:rsid w:val="00327AF0"/>
    <w:rsid w:val="00337542"/>
    <w:rsid w:val="0034308F"/>
    <w:rsid w:val="0036586F"/>
    <w:rsid w:val="003733CD"/>
    <w:rsid w:val="003826E6"/>
    <w:rsid w:val="00383A55"/>
    <w:rsid w:val="00395A4D"/>
    <w:rsid w:val="003B4342"/>
    <w:rsid w:val="003D2D58"/>
    <w:rsid w:val="003D50AA"/>
    <w:rsid w:val="003E395A"/>
    <w:rsid w:val="00400B74"/>
    <w:rsid w:val="004651A4"/>
    <w:rsid w:val="00473686"/>
    <w:rsid w:val="004743D9"/>
    <w:rsid w:val="00480363"/>
    <w:rsid w:val="004808B4"/>
    <w:rsid w:val="0049404A"/>
    <w:rsid w:val="00494D6C"/>
    <w:rsid w:val="004C73A4"/>
    <w:rsid w:val="005301CF"/>
    <w:rsid w:val="00533AA1"/>
    <w:rsid w:val="00541DEE"/>
    <w:rsid w:val="0054555F"/>
    <w:rsid w:val="00585944"/>
    <w:rsid w:val="00586261"/>
    <w:rsid w:val="0059205F"/>
    <w:rsid w:val="00594501"/>
    <w:rsid w:val="005A6F61"/>
    <w:rsid w:val="0060510A"/>
    <w:rsid w:val="00613CED"/>
    <w:rsid w:val="00616173"/>
    <w:rsid w:val="00631B6B"/>
    <w:rsid w:val="0064085E"/>
    <w:rsid w:val="00652D59"/>
    <w:rsid w:val="006B20CE"/>
    <w:rsid w:val="006B2A07"/>
    <w:rsid w:val="006F39E0"/>
    <w:rsid w:val="00711701"/>
    <w:rsid w:val="00721724"/>
    <w:rsid w:val="007241ED"/>
    <w:rsid w:val="00724467"/>
    <w:rsid w:val="0074747E"/>
    <w:rsid w:val="007661EB"/>
    <w:rsid w:val="007724D8"/>
    <w:rsid w:val="007B6312"/>
    <w:rsid w:val="007C0A6B"/>
    <w:rsid w:val="007F1B96"/>
    <w:rsid w:val="0080547F"/>
    <w:rsid w:val="00833DE4"/>
    <w:rsid w:val="00835514"/>
    <w:rsid w:val="0086178C"/>
    <w:rsid w:val="008A4987"/>
    <w:rsid w:val="008A64DF"/>
    <w:rsid w:val="008D2F34"/>
    <w:rsid w:val="008D3725"/>
    <w:rsid w:val="008E3626"/>
    <w:rsid w:val="008E6CA2"/>
    <w:rsid w:val="008E7A1D"/>
    <w:rsid w:val="008F2836"/>
    <w:rsid w:val="00902554"/>
    <w:rsid w:val="00954438"/>
    <w:rsid w:val="00983254"/>
    <w:rsid w:val="00984F59"/>
    <w:rsid w:val="00990E98"/>
    <w:rsid w:val="00996270"/>
    <w:rsid w:val="009A7407"/>
    <w:rsid w:val="009D7F99"/>
    <w:rsid w:val="00A921A9"/>
    <w:rsid w:val="00AA5DDA"/>
    <w:rsid w:val="00B00C34"/>
    <w:rsid w:val="00B34314"/>
    <w:rsid w:val="00B34564"/>
    <w:rsid w:val="00B3581A"/>
    <w:rsid w:val="00B53BE1"/>
    <w:rsid w:val="00B6294B"/>
    <w:rsid w:val="00B76AAB"/>
    <w:rsid w:val="00B84FB5"/>
    <w:rsid w:val="00B94172"/>
    <w:rsid w:val="00BA09F5"/>
    <w:rsid w:val="00BA145F"/>
    <w:rsid w:val="00BA61EE"/>
    <w:rsid w:val="00BD222B"/>
    <w:rsid w:val="00BD6E4A"/>
    <w:rsid w:val="00BE43F9"/>
    <w:rsid w:val="00C0704D"/>
    <w:rsid w:val="00C148B8"/>
    <w:rsid w:val="00C37D52"/>
    <w:rsid w:val="00C53832"/>
    <w:rsid w:val="00C80B03"/>
    <w:rsid w:val="00C957BC"/>
    <w:rsid w:val="00CA05CE"/>
    <w:rsid w:val="00CA157F"/>
    <w:rsid w:val="00CA255F"/>
    <w:rsid w:val="00CD4405"/>
    <w:rsid w:val="00CE3535"/>
    <w:rsid w:val="00CE66DD"/>
    <w:rsid w:val="00D10498"/>
    <w:rsid w:val="00D50401"/>
    <w:rsid w:val="00D61D0F"/>
    <w:rsid w:val="00D81099"/>
    <w:rsid w:val="00D85178"/>
    <w:rsid w:val="00D913F8"/>
    <w:rsid w:val="00DA3289"/>
    <w:rsid w:val="00DE4A17"/>
    <w:rsid w:val="00E46688"/>
    <w:rsid w:val="00E812B7"/>
    <w:rsid w:val="00E83F0A"/>
    <w:rsid w:val="00EA6095"/>
    <w:rsid w:val="00EB1CBD"/>
    <w:rsid w:val="00EB6ED5"/>
    <w:rsid w:val="00EC0CB0"/>
    <w:rsid w:val="00EC61C0"/>
    <w:rsid w:val="00EF5100"/>
    <w:rsid w:val="00F02C3D"/>
    <w:rsid w:val="00F03A67"/>
    <w:rsid w:val="00F21828"/>
    <w:rsid w:val="00F22B30"/>
    <w:rsid w:val="00F505E8"/>
    <w:rsid w:val="00F62820"/>
    <w:rsid w:val="00FA002C"/>
    <w:rsid w:val="00FB0CCE"/>
    <w:rsid w:val="00FB70F6"/>
    <w:rsid w:val="00FD03A2"/>
    <w:rsid w:val="00FD1AEF"/>
    <w:rsid w:val="14D73794"/>
    <w:rsid w:val="24EB5112"/>
    <w:rsid w:val="2A93DF33"/>
    <w:rsid w:val="3C3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15428"/>
  <w15:chartTrackingRefBased/>
  <w15:docId w15:val="{738D66A1-6CAB-4DDF-A00A-704A503F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7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73A4"/>
    <w:pPr>
      <w:tabs>
        <w:tab w:val="center" w:pos="4320"/>
        <w:tab w:val="right" w:pos="8640"/>
      </w:tabs>
    </w:pPr>
  </w:style>
  <w:style w:type="character" w:styleId="Hyperlink">
    <w:name w:val="Hyperlink"/>
    <w:rsid w:val="004651A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34564"/>
    <w:pPr>
      <w:ind w:left="720"/>
    </w:pPr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B34564"/>
    <w:pPr>
      <w:ind w:left="720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B34564"/>
  </w:style>
  <w:style w:type="paragraph" w:customStyle="1" w:styleId="Default">
    <w:name w:val="Default"/>
    <w:rsid w:val="00C0704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B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480363"/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80363"/>
    <w:rPr>
      <w:rFonts w:ascii="Helvetica" w:hAnsi="Helvetica"/>
      <w:sz w:val="24"/>
      <w:szCs w:val="24"/>
    </w:rPr>
  </w:style>
  <w:style w:type="character" w:styleId="CommentReference">
    <w:name w:val="annotation reference"/>
    <w:basedOn w:val="DefaultParagraphFont"/>
    <w:rsid w:val="00316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78D"/>
  </w:style>
  <w:style w:type="character" w:customStyle="1" w:styleId="CommentTextChar">
    <w:name w:val="Comment Text Char"/>
    <w:basedOn w:val="DefaultParagraphFont"/>
    <w:link w:val="CommentText"/>
    <w:rsid w:val="0031678D"/>
  </w:style>
  <w:style w:type="paragraph" w:styleId="CommentSubject">
    <w:name w:val="annotation subject"/>
    <w:basedOn w:val="CommentText"/>
    <w:next w:val="CommentText"/>
    <w:link w:val="CommentSubjectChar"/>
    <w:rsid w:val="0031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678D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16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678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398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014E2D"/>
  </w:style>
  <w:style w:type="character" w:customStyle="1" w:styleId="FootnoteTextChar">
    <w:name w:val="Footnote Text Char"/>
    <w:basedOn w:val="DefaultParagraphFont"/>
    <w:link w:val="FootnoteText"/>
    <w:rsid w:val="00014E2D"/>
  </w:style>
  <w:style w:type="character" w:styleId="FootnoteReference">
    <w:name w:val="footnote reference"/>
    <w:basedOn w:val="DefaultParagraphFont"/>
    <w:rsid w:val="00014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selyl\Local%20Settings\Temporary%20Internet%20Files\OLK218\LCAO%20Fax%20Template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SSI Expenditures as a Percent of GDP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 of GDP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2017</c:v>
                </c:pt>
                <c:pt idx="2">
                  <c:v>2027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0.32</c:v>
                </c:pt>
                <c:pt idx="1">
                  <c:v>0.28000000000000003</c:v>
                </c:pt>
                <c:pt idx="2">
                  <c:v>0.24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03976816"/>
        <c:axId val="503978384"/>
      </c:lineChart>
      <c:catAx>
        <c:axId val="50397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978384"/>
        <c:crosses val="autoZero"/>
        <c:auto val="1"/>
        <c:lblAlgn val="ctr"/>
        <c:lblOffset val="100"/>
        <c:noMultiLvlLbl val="0"/>
      </c:catAx>
      <c:valAx>
        <c:axId val="5039783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397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7DD5-563C-41B9-88F2-83A87CE2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LCAO Fax Template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25, 2006</vt:lpstr>
    </vt:vector>
  </TitlesOfParts>
  <Company>NCPSSM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25, 2006</dc:title>
  <dc:subject/>
  <dc:creator>weselyl</dc:creator>
  <cp:keywords/>
  <cp:lastModifiedBy>Jasmine Jefferson</cp:lastModifiedBy>
  <cp:revision>2</cp:revision>
  <cp:lastPrinted>2010-01-26T19:02:00Z</cp:lastPrinted>
  <dcterms:created xsi:type="dcterms:W3CDTF">2018-02-12T18:26:00Z</dcterms:created>
  <dcterms:modified xsi:type="dcterms:W3CDTF">2018-02-12T18:26:00Z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