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7B" w:rsidRPr="008D5D7B" w:rsidRDefault="004F0383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November 27, 2017</w:t>
      </w: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5D7B">
        <w:rPr>
          <w:rFonts w:cstheme="minorHAnsi"/>
          <w:color w:val="000000"/>
        </w:rPr>
        <w:t xml:space="preserve">VIA E-MAIL: </w:t>
      </w:r>
      <w:r w:rsidR="004F0383" w:rsidRPr="004F0383">
        <w:rPr>
          <w:rFonts w:cstheme="minorHAnsi"/>
          <w:color w:val="000000"/>
        </w:rPr>
        <w:t>heather.menne@acl.hhs.gov</w:t>
      </w:r>
    </w:p>
    <w:p w:rsidR="004F0383" w:rsidRDefault="008D5D7B" w:rsidP="004F0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5D7B">
        <w:rPr>
          <w:rFonts w:cstheme="minorHAnsi"/>
          <w:color w:val="000000"/>
        </w:rPr>
        <w:t xml:space="preserve">RE: </w:t>
      </w:r>
      <w:r w:rsidR="004F0383" w:rsidRPr="004F0383">
        <w:rPr>
          <w:rFonts w:cstheme="minorHAnsi"/>
          <w:color w:val="000000"/>
        </w:rPr>
        <w:t>Agency Information Collec</w:t>
      </w:r>
      <w:r w:rsidR="004F0383">
        <w:rPr>
          <w:rFonts w:cstheme="minorHAnsi"/>
          <w:color w:val="000000"/>
        </w:rPr>
        <w:t xml:space="preserve">tion Activities; Public Comment </w:t>
      </w:r>
      <w:r w:rsidR="004F0383" w:rsidRPr="004F0383">
        <w:rPr>
          <w:rFonts w:cstheme="minorHAnsi"/>
          <w:color w:val="000000"/>
        </w:rPr>
        <w:t>Req</w:t>
      </w:r>
      <w:r w:rsidR="004F0383">
        <w:rPr>
          <w:rFonts w:cstheme="minorHAnsi"/>
          <w:color w:val="000000"/>
        </w:rPr>
        <w:t xml:space="preserve">uest; Redesign of Existing Data Collection; National </w:t>
      </w:r>
      <w:r w:rsidR="004F0383" w:rsidRPr="004F0383">
        <w:rPr>
          <w:rFonts w:cstheme="minorHAnsi"/>
          <w:color w:val="000000"/>
        </w:rPr>
        <w:t>Survey of Older Americans Act Participants</w:t>
      </w: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1B7149" w:rsidRDefault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5D7B">
        <w:rPr>
          <w:rFonts w:cstheme="minorHAnsi"/>
          <w:color w:val="000000"/>
        </w:rPr>
        <w:t xml:space="preserve">The Leadership Council of Aging Organizations (LCAO) is writing to </w:t>
      </w:r>
      <w:r w:rsidR="006A23D0">
        <w:rPr>
          <w:rFonts w:cstheme="minorHAnsi"/>
          <w:color w:val="000000"/>
        </w:rPr>
        <w:t xml:space="preserve">applaud the </w:t>
      </w:r>
      <w:r w:rsidRPr="008D5D7B">
        <w:rPr>
          <w:rFonts w:cstheme="minorHAnsi"/>
          <w:color w:val="000000"/>
        </w:rPr>
        <w:t>Administration for</w:t>
      </w:r>
      <w:r w:rsidR="001B7149">
        <w:rPr>
          <w:rFonts w:cstheme="minorHAnsi"/>
          <w:color w:val="000000"/>
        </w:rPr>
        <w:t xml:space="preserve"> </w:t>
      </w:r>
      <w:r w:rsidRPr="008D5D7B">
        <w:rPr>
          <w:rFonts w:cstheme="minorHAnsi"/>
          <w:color w:val="000000"/>
        </w:rPr>
        <w:t xml:space="preserve">Community Living (ACL) </w:t>
      </w:r>
      <w:r w:rsidR="006A23D0">
        <w:rPr>
          <w:rFonts w:cstheme="minorHAnsi"/>
          <w:color w:val="000000"/>
        </w:rPr>
        <w:t>for keeping a sexual orientation demographic question in the latest iteration of the National Survey of Older Americans Act Participants (NSOAAP)</w:t>
      </w:r>
      <w:r w:rsidR="0072429D">
        <w:rPr>
          <w:rFonts w:cstheme="minorHAnsi"/>
          <w:color w:val="000000"/>
        </w:rPr>
        <w:t>, announced September 26, 2017</w:t>
      </w:r>
      <w:r w:rsidR="00617A7E">
        <w:rPr>
          <w:rFonts w:cstheme="minorHAnsi"/>
          <w:color w:val="000000"/>
        </w:rPr>
        <w:t xml:space="preserve">.   LCAO, </w:t>
      </w:r>
      <w:r w:rsidR="006A23D0">
        <w:rPr>
          <w:rFonts w:cstheme="minorHAnsi"/>
          <w:color w:val="000000"/>
        </w:rPr>
        <w:t xml:space="preserve">however, </w:t>
      </w:r>
      <w:r w:rsidR="00617A7E">
        <w:rPr>
          <w:rFonts w:cstheme="minorHAnsi"/>
          <w:color w:val="000000"/>
        </w:rPr>
        <w:t>is d</w:t>
      </w:r>
      <w:r w:rsidR="006A23D0">
        <w:rPr>
          <w:rFonts w:cstheme="minorHAnsi"/>
          <w:color w:val="000000"/>
        </w:rPr>
        <w:t xml:space="preserve">isappointed that ACL is </w:t>
      </w:r>
      <w:r w:rsidR="0072429D">
        <w:rPr>
          <w:rFonts w:cstheme="minorHAnsi"/>
          <w:color w:val="000000"/>
        </w:rPr>
        <w:t>continuing</w:t>
      </w:r>
      <w:r w:rsidR="006A23D0">
        <w:rPr>
          <w:rFonts w:cstheme="minorHAnsi"/>
          <w:color w:val="000000"/>
        </w:rPr>
        <w:t xml:space="preserve"> to deny </w:t>
      </w:r>
      <w:r w:rsidR="001B7149">
        <w:rPr>
          <w:rFonts w:cstheme="minorHAnsi"/>
          <w:color w:val="000000"/>
        </w:rPr>
        <w:t xml:space="preserve">the </w:t>
      </w:r>
      <w:r w:rsidR="00617A7E">
        <w:rPr>
          <w:rFonts w:cstheme="minorHAnsi"/>
          <w:color w:val="000000"/>
        </w:rPr>
        <w:t>ability of</w:t>
      </w:r>
      <w:r w:rsidRPr="008D5D7B">
        <w:rPr>
          <w:rFonts w:cstheme="minorHAnsi"/>
          <w:color w:val="000000"/>
        </w:rPr>
        <w:t xml:space="preserve"> transgender older adults </w:t>
      </w:r>
      <w:r w:rsidR="00617A7E">
        <w:rPr>
          <w:rFonts w:cstheme="minorHAnsi"/>
          <w:color w:val="000000"/>
        </w:rPr>
        <w:t xml:space="preserve">to </w:t>
      </w:r>
      <w:r w:rsidR="001B7149">
        <w:rPr>
          <w:rFonts w:cstheme="minorHAnsi"/>
          <w:color w:val="000000"/>
        </w:rPr>
        <w:t>identify themselves in</w:t>
      </w:r>
      <w:r w:rsidR="001B7149" w:rsidRPr="008D5D7B">
        <w:rPr>
          <w:rFonts w:cstheme="minorHAnsi"/>
          <w:color w:val="000000"/>
        </w:rPr>
        <w:t xml:space="preserve"> </w:t>
      </w:r>
      <w:r w:rsidRPr="008D5D7B">
        <w:rPr>
          <w:rFonts w:cstheme="minorHAnsi"/>
          <w:color w:val="000000"/>
        </w:rPr>
        <w:t xml:space="preserve">the </w:t>
      </w:r>
      <w:proofErr w:type="gramStart"/>
      <w:r w:rsidR="00617A7E">
        <w:rPr>
          <w:rFonts w:cstheme="minorHAnsi"/>
          <w:color w:val="000000"/>
        </w:rPr>
        <w:t>survey</w:t>
      </w:r>
      <w:proofErr w:type="gramEnd"/>
      <w:r w:rsidRPr="008D5D7B">
        <w:rPr>
          <w:rFonts w:cstheme="minorHAnsi"/>
          <w:color w:val="000000"/>
        </w:rPr>
        <w:t xml:space="preserve">. </w:t>
      </w:r>
    </w:p>
    <w:p w:rsidR="001B7149" w:rsidRDefault="001B7149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036220" w:rsidRDefault="000362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Earlier this year, LCAO joined</w:t>
      </w:r>
      <w:r w:rsidR="008D5D7B" w:rsidRPr="008D5D7B">
        <w:rPr>
          <w:rFonts w:cstheme="minorHAnsi"/>
          <w:color w:val="000000"/>
        </w:rPr>
        <w:t xml:space="preserve"> overwhelming public opposition</w:t>
      </w:r>
      <w:r w:rsidR="001B7149">
        <w:rPr>
          <w:rFonts w:cstheme="minorHAnsi"/>
          <w:color w:val="000000"/>
        </w:rPr>
        <w:t xml:space="preserve"> </w:t>
      </w:r>
      <w:proofErr w:type="gramStart"/>
      <w:r w:rsidR="008D5D7B" w:rsidRPr="008D5D7B">
        <w:rPr>
          <w:rFonts w:cstheme="minorHAnsi"/>
          <w:color w:val="000000"/>
        </w:rPr>
        <w:t>to</w:t>
      </w:r>
      <w:proofErr w:type="gramEnd"/>
      <w:r w:rsidR="008D5D7B" w:rsidRPr="008D5D7B">
        <w:rPr>
          <w:rFonts w:cstheme="minorHAnsi"/>
          <w:color w:val="000000"/>
        </w:rPr>
        <w:t xml:space="preserve"> ACL’s March 13, 2017, proposal to entirely erase lesbian, gay, bisexual, and transgender (LGBT) older</w:t>
      </w:r>
      <w:r w:rsidR="001B7149">
        <w:rPr>
          <w:rFonts w:cstheme="minorHAnsi"/>
          <w:color w:val="000000"/>
        </w:rPr>
        <w:t xml:space="preserve"> </w:t>
      </w:r>
      <w:proofErr w:type="gramStart"/>
      <w:r w:rsidR="008D5D7B" w:rsidRPr="008D5D7B">
        <w:rPr>
          <w:rFonts w:cstheme="minorHAnsi"/>
          <w:color w:val="000000"/>
        </w:rPr>
        <w:t>adults</w:t>
      </w:r>
      <w:proofErr w:type="gramEnd"/>
      <w:r w:rsidR="008D5D7B" w:rsidRPr="008D5D7B">
        <w:rPr>
          <w:rFonts w:cstheme="minorHAnsi"/>
          <w:color w:val="000000"/>
        </w:rPr>
        <w:t xml:space="preserve"> from the NSOAAP</w:t>
      </w:r>
      <w:r>
        <w:rPr>
          <w:rFonts w:cstheme="minorHAnsi"/>
          <w:color w:val="000000"/>
        </w:rPr>
        <w:t xml:space="preserve">. </w:t>
      </w:r>
      <w:r w:rsidR="008D5D7B" w:rsidRPr="008D5D7B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Following an initial comment period, </w:t>
      </w:r>
      <w:r w:rsidR="001B7149">
        <w:rPr>
          <w:rFonts w:cstheme="minorHAnsi"/>
          <w:color w:val="000000"/>
        </w:rPr>
        <w:t xml:space="preserve">LCAO </w:t>
      </w:r>
      <w:r w:rsidR="008D5D7B" w:rsidRPr="008D5D7B">
        <w:rPr>
          <w:rFonts w:cstheme="minorHAnsi"/>
          <w:color w:val="000000"/>
        </w:rPr>
        <w:t>commend</w:t>
      </w:r>
      <w:r w:rsidR="001B7149">
        <w:rPr>
          <w:rFonts w:cstheme="minorHAnsi"/>
          <w:color w:val="000000"/>
        </w:rPr>
        <w:t>ed</w:t>
      </w:r>
      <w:r w:rsidR="008D5D7B" w:rsidRPr="008D5D7B">
        <w:rPr>
          <w:rFonts w:cstheme="minorHAnsi"/>
          <w:color w:val="000000"/>
        </w:rPr>
        <w:t xml:space="preserve"> ACL on its decision to keep </w:t>
      </w:r>
      <w:r w:rsidR="0065287A">
        <w:rPr>
          <w:rFonts w:cstheme="minorHAnsi"/>
          <w:color w:val="000000"/>
        </w:rPr>
        <w:t xml:space="preserve">the </w:t>
      </w:r>
      <w:r w:rsidR="008D5D7B" w:rsidRPr="008D5D7B">
        <w:rPr>
          <w:rFonts w:cstheme="minorHAnsi"/>
          <w:color w:val="000000"/>
        </w:rPr>
        <w:t>sexual orientation</w:t>
      </w:r>
      <w:r w:rsidR="0065287A">
        <w:rPr>
          <w:rFonts w:cstheme="minorHAnsi"/>
          <w:color w:val="000000"/>
        </w:rPr>
        <w:t xml:space="preserve"> question</w:t>
      </w:r>
      <w:r w:rsidR="008D5D7B" w:rsidRPr="008D5D7B">
        <w:rPr>
          <w:rFonts w:cstheme="minorHAnsi"/>
          <w:color w:val="000000"/>
        </w:rPr>
        <w:t xml:space="preserve"> </w:t>
      </w:r>
      <w:proofErr w:type="gramStart"/>
      <w:r w:rsidR="008835E8">
        <w:rPr>
          <w:rFonts w:cstheme="minorHAnsi"/>
          <w:color w:val="000000"/>
        </w:rPr>
        <w:t>o</w:t>
      </w:r>
      <w:proofErr w:type="gramEnd"/>
      <w:r w:rsidR="008D5D7B" w:rsidRPr="008D5D7B">
        <w:rPr>
          <w:rFonts w:cstheme="minorHAnsi"/>
          <w:color w:val="000000"/>
        </w:rPr>
        <w:t>n the survey</w:t>
      </w:r>
      <w:r w:rsidR="0065287A">
        <w:rPr>
          <w:rFonts w:cstheme="minorHAnsi"/>
          <w:color w:val="000000"/>
        </w:rPr>
        <w:t>, but condemned ACL’s decision to</w:t>
      </w:r>
      <w:r w:rsidR="0065287A" w:rsidRPr="008D5D7B">
        <w:rPr>
          <w:rFonts w:cstheme="minorHAnsi"/>
          <w:color w:val="000000"/>
        </w:rPr>
        <w:t xml:space="preserve"> eliminat</w:t>
      </w:r>
      <w:r w:rsidR="0065287A">
        <w:rPr>
          <w:rFonts w:cstheme="minorHAnsi"/>
          <w:color w:val="000000"/>
        </w:rPr>
        <w:t>e</w:t>
      </w:r>
      <w:r w:rsidR="0065287A" w:rsidRPr="008D5D7B">
        <w:rPr>
          <w:rFonts w:cstheme="minorHAnsi"/>
          <w:color w:val="000000"/>
        </w:rPr>
        <w:t xml:space="preserve"> the </w:t>
      </w:r>
      <w:r w:rsidR="00AF24FE">
        <w:rPr>
          <w:rFonts w:cstheme="minorHAnsi"/>
          <w:color w:val="000000"/>
        </w:rPr>
        <w:t>opportunity for transgender older adults to identify themselves</w:t>
      </w:r>
      <w:r w:rsidR="0065287A">
        <w:rPr>
          <w:rFonts w:cstheme="minorHAnsi"/>
          <w:color w:val="000000"/>
        </w:rPr>
        <w:t xml:space="preserve">, </w:t>
      </w:r>
      <w:proofErr w:type="gramStart"/>
      <w:r>
        <w:rPr>
          <w:rFonts w:cstheme="minorHAnsi"/>
          <w:color w:val="000000"/>
        </w:rPr>
        <w:t>as</w:t>
      </w:r>
      <w:proofErr w:type="gramEnd"/>
      <w:r>
        <w:rPr>
          <w:rFonts w:cstheme="minorHAnsi"/>
          <w:color w:val="000000"/>
        </w:rPr>
        <w:t xml:space="preserve"> </w:t>
      </w:r>
      <w:r w:rsidR="00AF24FE">
        <w:rPr>
          <w:rFonts w:cstheme="minorHAnsi"/>
          <w:color w:val="000000"/>
        </w:rPr>
        <w:t>the survey</w:t>
      </w:r>
      <w:r>
        <w:rPr>
          <w:rFonts w:cstheme="minorHAnsi"/>
          <w:color w:val="000000"/>
        </w:rPr>
        <w:t xml:space="preserve"> went to the Office of Management and Budget </w:t>
      </w:r>
      <w:r w:rsidR="0065287A">
        <w:rPr>
          <w:rFonts w:cstheme="minorHAnsi"/>
          <w:color w:val="000000"/>
        </w:rPr>
        <w:t>(OMB) for review.</w:t>
      </w:r>
      <w:r>
        <w:rPr>
          <w:rFonts w:cstheme="minorHAnsi"/>
          <w:color w:val="000000"/>
        </w:rPr>
        <w:t xml:space="preserve"> </w:t>
      </w:r>
    </w:p>
    <w:p w:rsidR="00036220" w:rsidRDefault="00036220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D5D7B" w:rsidRDefault="00036220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ACL has </w:t>
      </w:r>
      <w:r w:rsidR="00B54B0B">
        <w:rPr>
          <w:rFonts w:cstheme="minorHAnsi"/>
          <w:color w:val="000000"/>
        </w:rPr>
        <w:t xml:space="preserve">now announced a </w:t>
      </w:r>
      <w:r w:rsidR="0072429D">
        <w:rPr>
          <w:rFonts w:cstheme="minorHAnsi"/>
          <w:color w:val="000000"/>
        </w:rPr>
        <w:t xml:space="preserve">new, </w:t>
      </w:r>
      <w:r>
        <w:rPr>
          <w:rFonts w:cstheme="minorHAnsi"/>
          <w:color w:val="000000"/>
        </w:rPr>
        <w:t>longitudinal</w:t>
      </w:r>
      <w:r w:rsidR="001B7149">
        <w:rPr>
          <w:rFonts w:cstheme="minorHAnsi"/>
          <w:color w:val="000000"/>
        </w:rPr>
        <w:t xml:space="preserve"> NSOAAP.  </w:t>
      </w:r>
      <w:r w:rsidR="00B54B0B">
        <w:rPr>
          <w:rFonts w:cstheme="minorHAnsi"/>
          <w:color w:val="000000"/>
        </w:rPr>
        <w:t>While w</w:t>
      </w:r>
      <w:r w:rsidR="001B7149">
        <w:rPr>
          <w:rFonts w:cstheme="minorHAnsi"/>
          <w:color w:val="000000"/>
        </w:rPr>
        <w:t xml:space="preserve">e once again commend </w:t>
      </w:r>
      <w:r w:rsidR="00AF24FE">
        <w:rPr>
          <w:rFonts w:cstheme="minorHAnsi"/>
          <w:color w:val="000000"/>
        </w:rPr>
        <w:t>ACL</w:t>
      </w:r>
      <w:r w:rsidR="001B7149">
        <w:rPr>
          <w:rFonts w:cstheme="minorHAnsi"/>
          <w:color w:val="000000"/>
        </w:rPr>
        <w:t xml:space="preserve"> </w:t>
      </w:r>
      <w:r w:rsidR="00B54B0B">
        <w:rPr>
          <w:rFonts w:cstheme="minorHAnsi"/>
          <w:color w:val="000000"/>
        </w:rPr>
        <w:t xml:space="preserve">on </w:t>
      </w:r>
      <w:r w:rsidR="001B7149">
        <w:rPr>
          <w:rFonts w:cstheme="minorHAnsi"/>
          <w:color w:val="000000"/>
        </w:rPr>
        <w:t xml:space="preserve">its decision to collect data on sexual orientation, we </w:t>
      </w:r>
      <w:r w:rsidR="00B54B0B">
        <w:rPr>
          <w:rFonts w:cstheme="minorHAnsi"/>
          <w:color w:val="000000"/>
        </w:rPr>
        <w:t xml:space="preserve">once again condemn </w:t>
      </w:r>
      <w:r w:rsidR="00AF24FE">
        <w:rPr>
          <w:rFonts w:cstheme="minorHAnsi"/>
          <w:color w:val="000000"/>
        </w:rPr>
        <w:t>ACL</w:t>
      </w:r>
      <w:r w:rsidR="00B54B0B">
        <w:rPr>
          <w:rFonts w:cstheme="minorHAnsi"/>
          <w:color w:val="000000"/>
        </w:rPr>
        <w:t xml:space="preserve">’s decision </w:t>
      </w:r>
      <w:r w:rsidR="00AF24FE">
        <w:rPr>
          <w:rFonts w:cstheme="minorHAnsi"/>
          <w:color w:val="000000"/>
        </w:rPr>
        <w:t xml:space="preserve">to not include a </w:t>
      </w:r>
      <w:r w:rsidR="006A23D0">
        <w:rPr>
          <w:rFonts w:cstheme="minorHAnsi"/>
          <w:color w:val="000000"/>
        </w:rPr>
        <w:t xml:space="preserve">transgender </w:t>
      </w:r>
      <w:r w:rsidR="00AF24FE">
        <w:rPr>
          <w:rFonts w:cstheme="minorHAnsi"/>
          <w:color w:val="000000"/>
        </w:rPr>
        <w:t>demographic question</w:t>
      </w:r>
      <w:r w:rsidR="00B54B0B">
        <w:rPr>
          <w:rFonts w:cstheme="minorHAnsi"/>
          <w:color w:val="000000"/>
        </w:rPr>
        <w:t xml:space="preserve"> on the survey</w:t>
      </w:r>
      <w:r w:rsidR="006A23D0">
        <w:rPr>
          <w:rFonts w:cstheme="minorHAnsi"/>
          <w:color w:val="000000"/>
        </w:rPr>
        <w:t xml:space="preserve">.  </w:t>
      </w:r>
      <w:r w:rsidR="008D5D7B" w:rsidRPr="008D5D7B">
        <w:rPr>
          <w:rFonts w:cstheme="minorHAnsi"/>
          <w:color w:val="000000"/>
        </w:rPr>
        <w:t>All of our elders, including</w:t>
      </w:r>
      <w:r w:rsidR="001B7149">
        <w:rPr>
          <w:rFonts w:cstheme="minorHAnsi"/>
          <w:color w:val="000000"/>
        </w:rPr>
        <w:t xml:space="preserve"> </w:t>
      </w:r>
      <w:proofErr w:type="gramStart"/>
      <w:r w:rsidR="008D5D7B" w:rsidRPr="008D5D7B">
        <w:rPr>
          <w:rFonts w:cstheme="minorHAnsi"/>
          <w:color w:val="000000"/>
        </w:rPr>
        <w:t>our</w:t>
      </w:r>
      <w:proofErr w:type="gramEnd"/>
      <w:r w:rsidR="008D5D7B" w:rsidRPr="008D5D7B">
        <w:rPr>
          <w:rFonts w:cstheme="minorHAnsi"/>
          <w:color w:val="000000"/>
        </w:rPr>
        <w:t xml:space="preserve"> transgender elders, must be counted. We refuse to let transgender older adults, or any of the elders</w:t>
      </w:r>
      <w:r w:rsidR="001B7149">
        <w:rPr>
          <w:rFonts w:cstheme="minorHAnsi"/>
          <w:color w:val="000000"/>
        </w:rPr>
        <w:t xml:space="preserve"> </w:t>
      </w:r>
      <w:proofErr w:type="gramStart"/>
      <w:r w:rsidR="008D5D7B" w:rsidRPr="008D5D7B">
        <w:rPr>
          <w:rFonts w:cstheme="minorHAnsi"/>
          <w:color w:val="000000"/>
        </w:rPr>
        <w:t>who</w:t>
      </w:r>
      <w:proofErr w:type="gramEnd"/>
      <w:r w:rsidR="008D5D7B" w:rsidRPr="008D5D7B">
        <w:rPr>
          <w:rFonts w:cstheme="minorHAnsi"/>
          <w:color w:val="000000"/>
        </w:rPr>
        <w:t xml:space="preserve"> are part of our community, be invisible.</w:t>
      </w: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5D7B">
        <w:rPr>
          <w:rFonts w:cstheme="minorHAnsi"/>
          <w:color w:val="000000"/>
        </w:rPr>
        <w:t>The more we know, the more we can do to make sure that transgender older adults receive the services</w:t>
      </w: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8D5D7B">
        <w:rPr>
          <w:rFonts w:cstheme="minorHAnsi"/>
          <w:color w:val="000000"/>
        </w:rPr>
        <w:t>they</w:t>
      </w:r>
      <w:proofErr w:type="gramEnd"/>
      <w:r w:rsidRPr="008D5D7B">
        <w:rPr>
          <w:rFonts w:cstheme="minorHAnsi"/>
          <w:color w:val="000000"/>
        </w:rPr>
        <w:t xml:space="preserve"> deserve. The NSOAAP survey provides critical data on whether federally funded aging programs</w:t>
      </w: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8D5D7B">
        <w:rPr>
          <w:rFonts w:cstheme="minorHAnsi"/>
          <w:color w:val="000000"/>
        </w:rPr>
        <w:t>like</w:t>
      </w:r>
      <w:proofErr w:type="gramEnd"/>
      <w:r w:rsidRPr="008D5D7B">
        <w:rPr>
          <w:rFonts w:cstheme="minorHAnsi"/>
          <w:color w:val="000000"/>
        </w:rPr>
        <w:t xml:space="preserve"> meals on wheels, family caregiver support, adult daycare, and senior centers reach all older adults,</w:t>
      </w: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8D5D7B">
        <w:rPr>
          <w:rFonts w:cstheme="minorHAnsi"/>
          <w:color w:val="000000"/>
        </w:rPr>
        <w:t>including</w:t>
      </w:r>
      <w:proofErr w:type="gramEnd"/>
      <w:r w:rsidRPr="008D5D7B">
        <w:rPr>
          <w:rFonts w:cstheme="minorHAnsi"/>
          <w:color w:val="000000"/>
        </w:rPr>
        <w:t xml:space="preserve"> transgender older adults. While ACL’s notice in the Federal Register provides no articulation</w:t>
      </w: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8D5D7B">
        <w:rPr>
          <w:rFonts w:cstheme="minorHAnsi"/>
          <w:color w:val="000000"/>
        </w:rPr>
        <w:t>of</w:t>
      </w:r>
      <w:proofErr w:type="gramEnd"/>
      <w:r w:rsidRPr="008D5D7B">
        <w:rPr>
          <w:rFonts w:cstheme="minorHAnsi"/>
          <w:color w:val="000000"/>
        </w:rPr>
        <w:t xml:space="preserve">, information about, or explanation of ACL’s </w:t>
      </w:r>
      <w:r w:rsidR="0072429D">
        <w:rPr>
          <w:rFonts w:cstheme="minorHAnsi"/>
          <w:color w:val="000000"/>
        </w:rPr>
        <w:t>decision</w:t>
      </w:r>
      <w:r w:rsidRPr="008D5D7B">
        <w:rPr>
          <w:rFonts w:cstheme="minorHAnsi"/>
          <w:color w:val="000000"/>
        </w:rPr>
        <w:t xml:space="preserve"> to </w:t>
      </w:r>
      <w:r w:rsidR="00B54B0B">
        <w:rPr>
          <w:rFonts w:cstheme="minorHAnsi"/>
          <w:color w:val="000000"/>
        </w:rPr>
        <w:t>omit</w:t>
      </w:r>
      <w:r w:rsidR="00B54B0B" w:rsidRPr="008D5D7B">
        <w:rPr>
          <w:rFonts w:cstheme="minorHAnsi"/>
          <w:color w:val="000000"/>
        </w:rPr>
        <w:t xml:space="preserve"> </w:t>
      </w:r>
      <w:r w:rsidRPr="008D5D7B">
        <w:rPr>
          <w:rFonts w:cstheme="minorHAnsi"/>
          <w:color w:val="000000"/>
        </w:rPr>
        <w:t>transgender older adults from the</w:t>
      </w:r>
    </w:p>
    <w:p w:rsid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5D7B">
        <w:rPr>
          <w:rFonts w:cstheme="minorHAnsi"/>
          <w:color w:val="000000"/>
        </w:rPr>
        <w:t>NSOAAP, what we do know is that ACL will no</w:t>
      </w:r>
      <w:r w:rsidR="0072429D">
        <w:rPr>
          <w:rFonts w:cstheme="minorHAnsi"/>
          <w:color w:val="000000"/>
        </w:rPr>
        <w:t>t</w:t>
      </w:r>
      <w:r w:rsidRPr="008D5D7B">
        <w:rPr>
          <w:rFonts w:cstheme="minorHAnsi"/>
          <w:color w:val="000000"/>
        </w:rPr>
        <w:t xml:space="preserve"> have </w:t>
      </w:r>
      <w:r w:rsidR="0072429D">
        <w:rPr>
          <w:rFonts w:cstheme="minorHAnsi"/>
          <w:color w:val="000000"/>
        </w:rPr>
        <w:t xml:space="preserve">the important </w:t>
      </w:r>
      <w:r w:rsidRPr="008D5D7B">
        <w:rPr>
          <w:rFonts w:cstheme="minorHAnsi"/>
          <w:color w:val="000000"/>
        </w:rPr>
        <w:t xml:space="preserve">data </w:t>
      </w:r>
      <w:r w:rsidR="0072429D">
        <w:rPr>
          <w:rFonts w:cstheme="minorHAnsi"/>
          <w:color w:val="000000"/>
        </w:rPr>
        <w:t xml:space="preserve">it needs </w:t>
      </w:r>
      <w:r w:rsidRPr="008D5D7B">
        <w:rPr>
          <w:rFonts w:cstheme="minorHAnsi"/>
          <w:color w:val="000000"/>
        </w:rPr>
        <w:t>on how the aging network is meeting</w:t>
      </w:r>
      <w:r w:rsidR="0072429D">
        <w:rPr>
          <w:rFonts w:cstheme="minorHAnsi"/>
          <w:color w:val="000000"/>
        </w:rPr>
        <w:t xml:space="preserve"> </w:t>
      </w:r>
      <w:proofErr w:type="gramStart"/>
      <w:r w:rsidRPr="008D5D7B">
        <w:rPr>
          <w:rFonts w:cstheme="minorHAnsi"/>
          <w:color w:val="000000"/>
        </w:rPr>
        <w:t>the</w:t>
      </w:r>
      <w:proofErr w:type="gramEnd"/>
      <w:r w:rsidRPr="008D5D7B">
        <w:rPr>
          <w:rFonts w:cstheme="minorHAnsi"/>
          <w:color w:val="000000"/>
        </w:rPr>
        <w:t xml:space="preserve"> needs of this population.</w:t>
      </w: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5D7B">
        <w:rPr>
          <w:rFonts w:cstheme="minorHAnsi"/>
          <w:color w:val="000000"/>
        </w:rPr>
        <w:t>Since 1980, LCAO has been the country’s preeminent coalition representing older Americans. Comprised</w:t>
      </w: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8D5D7B">
        <w:rPr>
          <w:rFonts w:cstheme="minorHAnsi"/>
          <w:color w:val="000000"/>
        </w:rPr>
        <w:t>of</w:t>
      </w:r>
      <w:proofErr w:type="gramEnd"/>
      <w:r w:rsidRPr="008D5D7B">
        <w:rPr>
          <w:rFonts w:cstheme="minorHAnsi"/>
          <w:color w:val="000000"/>
        </w:rPr>
        <w:t xml:space="preserve"> 72 national nonprofit organization members, LCAO focuses on the well-being of America’s older</w:t>
      </w: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8D5D7B">
        <w:rPr>
          <w:rFonts w:cstheme="minorHAnsi"/>
          <w:color w:val="000000"/>
        </w:rPr>
        <w:t>population</w:t>
      </w:r>
      <w:proofErr w:type="gramEnd"/>
      <w:r w:rsidRPr="008D5D7B">
        <w:rPr>
          <w:rFonts w:cstheme="minorHAnsi"/>
          <w:color w:val="000000"/>
        </w:rPr>
        <w:t xml:space="preserve"> and is committed to representing their interests in the policy-making arena. LCAO serves as a</w:t>
      </w: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8D5D7B">
        <w:rPr>
          <w:rFonts w:cstheme="minorHAnsi"/>
          <w:color w:val="000000"/>
        </w:rPr>
        <w:t>source</w:t>
      </w:r>
      <w:proofErr w:type="gramEnd"/>
      <w:r w:rsidRPr="008D5D7B">
        <w:rPr>
          <w:rFonts w:cstheme="minorHAnsi"/>
          <w:color w:val="000000"/>
        </w:rPr>
        <w:t xml:space="preserve"> of information about issues affecting older persons and provides l</w:t>
      </w:r>
      <w:r>
        <w:rPr>
          <w:rFonts w:cstheme="minorHAnsi"/>
          <w:color w:val="000000"/>
        </w:rPr>
        <w:t xml:space="preserve">eadership and vision as America </w:t>
      </w:r>
      <w:r w:rsidRPr="008D5D7B">
        <w:rPr>
          <w:rFonts w:cstheme="minorHAnsi"/>
          <w:color w:val="000000"/>
        </w:rPr>
        <w:t>meets the challenges and opportunities presented by its aging society.</w:t>
      </w:r>
    </w:p>
    <w:p w:rsid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54B0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5D7B">
        <w:rPr>
          <w:rFonts w:cstheme="minorHAnsi"/>
          <w:color w:val="000000"/>
        </w:rPr>
        <w:t xml:space="preserve">ACL’s </w:t>
      </w:r>
      <w:r w:rsidR="00AF24FE">
        <w:rPr>
          <w:rFonts w:cstheme="minorHAnsi"/>
          <w:color w:val="000000"/>
        </w:rPr>
        <w:t>latest proposal, which once again fails to include a transgender demographic question in the survey,</w:t>
      </w:r>
      <w:r w:rsidRPr="008D5D7B">
        <w:rPr>
          <w:rFonts w:cstheme="minorHAnsi"/>
          <w:color w:val="000000"/>
        </w:rPr>
        <w:t xml:space="preserve"> is fundamentally at odds</w:t>
      </w:r>
      <w:r w:rsidR="00B54B0B">
        <w:rPr>
          <w:rFonts w:cstheme="minorHAnsi"/>
          <w:color w:val="000000"/>
        </w:rPr>
        <w:t xml:space="preserve"> </w:t>
      </w:r>
      <w:proofErr w:type="gramStart"/>
      <w:r w:rsidRPr="008D5D7B">
        <w:rPr>
          <w:rFonts w:cstheme="minorHAnsi"/>
          <w:color w:val="000000"/>
        </w:rPr>
        <w:t>with</w:t>
      </w:r>
      <w:proofErr w:type="gramEnd"/>
      <w:r w:rsidRPr="008D5D7B">
        <w:rPr>
          <w:rFonts w:cstheme="minorHAnsi"/>
          <w:color w:val="000000"/>
        </w:rPr>
        <w:t xml:space="preserve"> LCAO’s vision of recognizing the diversity of America’s older population and working to ensure</w:t>
      </w:r>
      <w:r w:rsidR="00B54B0B">
        <w:rPr>
          <w:rFonts w:cstheme="minorHAnsi"/>
          <w:color w:val="000000"/>
        </w:rPr>
        <w:t xml:space="preserve"> </w:t>
      </w:r>
      <w:proofErr w:type="gramStart"/>
      <w:r w:rsidRPr="008D5D7B">
        <w:rPr>
          <w:rFonts w:cstheme="minorHAnsi"/>
          <w:color w:val="000000"/>
        </w:rPr>
        <w:t>that</w:t>
      </w:r>
      <w:proofErr w:type="gramEnd"/>
      <w:r w:rsidRPr="008D5D7B">
        <w:rPr>
          <w:rFonts w:cstheme="minorHAnsi"/>
          <w:color w:val="000000"/>
        </w:rPr>
        <w:t xml:space="preserve"> no older person is a victim of discrimination. In recent years, ACL has made significant progress in</w:t>
      </w:r>
      <w:r w:rsidR="00B54B0B">
        <w:rPr>
          <w:rFonts w:cstheme="minorHAnsi"/>
          <w:color w:val="000000"/>
        </w:rPr>
        <w:t xml:space="preserve"> </w:t>
      </w:r>
      <w:proofErr w:type="gramStart"/>
      <w:r w:rsidRPr="008D5D7B">
        <w:rPr>
          <w:rFonts w:cstheme="minorHAnsi"/>
          <w:color w:val="000000"/>
        </w:rPr>
        <w:t>addressing</w:t>
      </w:r>
      <w:proofErr w:type="gramEnd"/>
      <w:r w:rsidRPr="008D5D7B">
        <w:rPr>
          <w:rFonts w:cstheme="minorHAnsi"/>
          <w:color w:val="000000"/>
        </w:rPr>
        <w:t xml:space="preserve"> the needs of transgender older adults. ACL’s </w:t>
      </w:r>
      <w:r w:rsidR="008835E8">
        <w:rPr>
          <w:rFonts w:cstheme="minorHAnsi"/>
          <w:color w:val="000000"/>
        </w:rPr>
        <w:t>decision to not include a</w:t>
      </w:r>
      <w:r w:rsidRPr="008D5D7B">
        <w:rPr>
          <w:rFonts w:cstheme="minorHAnsi"/>
          <w:color w:val="000000"/>
        </w:rPr>
        <w:t xml:space="preserve"> gender identity</w:t>
      </w:r>
      <w:r w:rsidR="00B54B0B">
        <w:rPr>
          <w:rFonts w:cstheme="minorHAnsi"/>
          <w:color w:val="000000"/>
        </w:rPr>
        <w:t xml:space="preserve"> </w:t>
      </w:r>
      <w:proofErr w:type="gramStart"/>
      <w:r w:rsidRPr="008D5D7B">
        <w:rPr>
          <w:rFonts w:cstheme="minorHAnsi"/>
          <w:color w:val="000000"/>
        </w:rPr>
        <w:t>question</w:t>
      </w:r>
      <w:proofErr w:type="gramEnd"/>
      <w:r w:rsidRPr="008D5D7B">
        <w:rPr>
          <w:rFonts w:cstheme="minorHAnsi"/>
          <w:color w:val="000000"/>
        </w:rPr>
        <w:t>, however, represents a significant step backward from the progr</w:t>
      </w:r>
      <w:r>
        <w:rPr>
          <w:rFonts w:cstheme="minorHAnsi"/>
          <w:color w:val="000000"/>
        </w:rPr>
        <w:t xml:space="preserve">ess we have made </w:t>
      </w:r>
      <w:r w:rsidR="00B54B0B">
        <w:rPr>
          <w:rFonts w:cstheme="minorHAnsi"/>
          <w:color w:val="000000"/>
        </w:rPr>
        <w:t xml:space="preserve">in recent years and counters the call for more data from the aging network on the population it serves, not less. </w:t>
      </w:r>
    </w:p>
    <w:p w:rsid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5D7B">
        <w:rPr>
          <w:rFonts w:cstheme="minorHAnsi"/>
          <w:color w:val="000000"/>
        </w:rPr>
        <w:t>Data, research, and the experience of SAGE, its affiliates, and</w:t>
      </w:r>
      <w:r w:rsidR="0065287A">
        <w:rPr>
          <w:rFonts w:cstheme="minorHAnsi"/>
          <w:color w:val="000000"/>
        </w:rPr>
        <w:t xml:space="preserve"> </w:t>
      </w:r>
      <w:proofErr w:type="gramStart"/>
      <w:r w:rsidRPr="008D5D7B">
        <w:rPr>
          <w:rFonts w:cstheme="minorHAnsi"/>
          <w:color w:val="000000"/>
        </w:rPr>
        <w:t>its</w:t>
      </w:r>
      <w:proofErr w:type="gramEnd"/>
      <w:r w:rsidRPr="008D5D7B">
        <w:rPr>
          <w:rFonts w:cstheme="minorHAnsi"/>
          <w:color w:val="000000"/>
        </w:rPr>
        <w:t xml:space="preserve"> partners across the country confirm that transgender older adults face a number of barriers to</w:t>
      </w:r>
      <w:r w:rsidR="0065287A">
        <w:rPr>
          <w:rFonts w:cstheme="minorHAnsi"/>
          <w:color w:val="000000"/>
        </w:rPr>
        <w:t xml:space="preserve"> </w:t>
      </w:r>
      <w:proofErr w:type="gramStart"/>
      <w:r w:rsidRPr="008D5D7B">
        <w:rPr>
          <w:rFonts w:cstheme="minorHAnsi"/>
          <w:color w:val="000000"/>
        </w:rPr>
        <w:t>successful</w:t>
      </w:r>
      <w:proofErr w:type="gramEnd"/>
      <w:r w:rsidRPr="008D5D7B">
        <w:rPr>
          <w:rFonts w:cstheme="minorHAnsi"/>
          <w:color w:val="000000"/>
        </w:rPr>
        <w:t xml:space="preserve"> aging. While data on transgender older adults is limited, which further makes the case for</w:t>
      </w:r>
      <w:r w:rsidR="0065287A">
        <w:rPr>
          <w:rFonts w:cstheme="minorHAnsi"/>
          <w:color w:val="000000"/>
        </w:rPr>
        <w:t xml:space="preserve"> </w:t>
      </w:r>
      <w:r w:rsidRPr="008D5D7B">
        <w:rPr>
          <w:rFonts w:cstheme="minorHAnsi"/>
          <w:color w:val="000000"/>
        </w:rPr>
        <w:t xml:space="preserve">ACL collecting this information, the data that </w:t>
      </w:r>
      <w:r w:rsidRPr="008D5D7B">
        <w:rPr>
          <w:rFonts w:cstheme="minorHAnsi"/>
          <w:color w:val="000000"/>
        </w:rPr>
        <w:lastRenderedPageBreak/>
        <w:t>does exist proves that transgender older adults</w:t>
      </w:r>
      <w:r w:rsidR="0065287A">
        <w:rPr>
          <w:rFonts w:cstheme="minorHAnsi"/>
          <w:color w:val="000000"/>
        </w:rPr>
        <w:t xml:space="preserve"> </w:t>
      </w:r>
      <w:proofErr w:type="gramStart"/>
      <w:r w:rsidRPr="008D5D7B">
        <w:rPr>
          <w:rFonts w:cstheme="minorHAnsi"/>
          <w:color w:val="000000"/>
        </w:rPr>
        <w:t>face</w:t>
      </w:r>
      <w:proofErr w:type="gramEnd"/>
      <w:r w:rsidRPr="008D5D7B">
        <w:rPr>
          <w:rFonts w:cstheme="minorHAnsi"/>
          <w:color w:val="000000"/>
        </w:rPr>
        <w:t xml:space="preserve"> higher</w:t>
      </w:r>
      <w:bookmarkStart w:id="0" w:name="_GoBack"/>
      <w:bookmarkEnd w:id="0"/>
      <w:r w:rsidRPr="008D5D7B">
        <w:rPr>
          <w:rFonts w:cstheme="minorHAnsi"/>
          <w:color w:val="000000"/>
        </w:rPr>
        <w:t xml:space="preserve"> rates of social isolation and have thinner support networks than their non-transgender peers.</w:t>
      </w:r>
    </w:p>
    <w:p w:rsid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5D7B">
        <w:rPr>
          <w:rFonts w:cstheme="minorHAnsi"/>
          <w:color w:val="000000"/>
        </w:rPr>
        <w:t>The existing research also shows that transgender elders age without a network of welcoming or</w:t>
      </w: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8D5D7B">
        <w:rPr>
          <w:rFonts w:cstheme="minorHAnsi"/>
          <w:color w:val="000000"/>
        </w:rPr>
        <w:t>culturally</w:t>
      </w:r>
      <w:proofErr w:type="gramEnd"/>
      <w:r w:rsidRPr="008D5D7B">
        <w:rPr>
          <w:rFonts w:cstheme="minorHAnsi"/>
          <w:color w:val="000000"/>
        </w:rPr>
        <w:t xml:space="preserve"> competent aging, health</w:t>
      </w:r>
      <w:r>
        <w:rPr>
          <w:rFonts w:cstheme="minorHAnsi"/>
          <w:color w:val="000000"/>
        </w:rPr>
        <w:t xml:space="preserve">, and social service providers. </w:t>
      </w:r>
      <w:r w:rsidRPr="008D5D7B">
        <w:rPr>
          <w:rFonts w:cstheme="minorHAnsi"/>
          <w:color w:val="000000"/>
        </w:rPr>
        <w:t xml:space="preserve">According to </w:t>
      </w:r>
      <w:r w:rsidRPr="008D5D7B">
        <w:rPr>
          <w:rFonts w:cstheme="minorHAnsi"/>
          <w:i/>
          <w:iCs/>
          <w:color w:val="000000"/>
        </w:rPr>
        <w:t>Understanding Issues Facing LGBT Older Adults</w:t>
      </w:r>
      <w:r w:rsidRPr="008D5D7B">
        <w:rPr>
          <w:rFonts w:cstheme="minorHAnsi"/>
          <w:color w:val="000000"/>
        </w:rPr>
        <w:t xml:space="preserve">, 25% of </w:t>
      </w:r>
      <w:r>
        <w:rPr>
          <w:rFonts w:cstheme="minorHAnsi"/>
          <w:color w:val="000000"/>
        </w:rPr>
        <w:t xml:space="preserve">transgender older adults report </w:t>
      </w:r>
      <w:r w:rsidRPr="008D5D7B">
        <w:rPr>
          <w:rFonts w:cstheme="minorHAnsi"/>
          <w:color w:val="000000"/>
        </w:rPr>
        <w:t>having faced discrimination based on their gender identity, transgende</w:t>
      </w:r>
      <w:r>
        <w:rPr>
          <w:rFonts w:cstheme="minorHAnsi"/>
          <w:color w:val="000000"/>
        </w:rPr>
        <w:t xml:space="preserve">r older adults face much higher </w:t>
      </w:r>
      <w:r w:rsidRPr="008D5D7B">
        <w:rPr>
          <w:rFonts w:cstheme="minorHAnsi"/>
          <w:color w:val="000000"/>
        </w:rPr>
        <w:t>rates of psychological distress than their non-transgender peers, and</w:t>
      </w:r>
      <w:r>
        <w:rPr>
          <w:rFonts w:cstheme="minorHAnsi"/>
          <w:color w:val="000000"/>
        </w:rPr>
        <w:t xml:space="preserve"> nearly 50% live at 200% of the </w:t>
      </w:r>
      <w:r w:rsidRPr="008D5D7B">
        <w:rPr>
          <w:rFonts w:cstheme="minorHAnsi"/>
          <w:color w:val="000000"/>
        </w:rPr>
        <w:t>federal poverty line or lower.</w:t>
      </w:r>
      <w:r w:rsidR="00DE0367">
        <w:rPr>
          <w:rStyle w:val="FootnoteReference"/>
          <w:rFonts w:cstheme="minorHAnsi"/>
          <w:color w:val="000000"/>
        </w:rPr>
        <w:footnoteReference w:id="1"/>
      </w:r>
      <w:r w:rsidRPr="008D5D7B">
        <w:rPr>
          <w:rFonts w:cstheme="minorHAnsi"/>
          <w:color w:val="000000"/>
          <w:sz w:val="14"/>
          <w:szCs w:val="14"/>
        </w:rPr>
        <w:t xml:space="preserve"> </w:t>
      </w:r>
      <w:r w:rsidRPr="008D5D7B">
        <w:rPr>
          <w:rFonts w:cstheme="minorHAnsi"/>
          <w:color w:val="000000"/>
        </w:rPr>
        <w:t>These challenges are compounded by con</w:t>
      </w:r>
      <w:r>
        <w:rPr>
          <w:rFonts w:cstheme="minorHAnsi"/>
          <w:color w:val="000000"/>
        </w:rPr>
        <w:t xml:space="preserve">cerns related to caregiving and </w:t>
      </w:r>
      <w:r w:rsidRPr="008D5D7B">
        <w:rPr>
          <w:rFonts w:cstheme="minorHAnsi"/>
          <w:color w:val="000000"/>
        </w:rPr>
        <w:t>by limited access to healthcare. Almost one third of transgender peop</w:t>
      </w:r>
      <w:r>
        <w:rPr>
          <w:rFonts w:cstheme="minorHAnsi"/>
          <w:color w:val="000000"/>
        </w:rPr>
        <w:t xml:space="preserve">le don’t know who will care for </w:t>
      </w:r>
      <w:r w:rsidRPr="008D5D7B">
        <w:rPr>
          <w:rFonts w:cstheme="minorHAnsi"/>
          <w:color w:val="000000"/>
        </w:rPr>
        <w:t>them and approximately two thirds fear their access to healthcare will be limited as they get older.</w:t>
      </w:r>
      <w:r w:rsidR="00DE0367">
        <w:rPr>
          <w:rStyle w:val="FootnoteReference"/>
          <w:rFonts w:cstheme="minorHAnsi"/>
          <w:color w:val="000000"/>
        </w:rPr>
        <w:footnoteReference w:id="2"/>
      </w:r>
      <w:r w:rsidRPr="008D5D7B">
        <w:rPr>
          <w:rFonts w:cstheme="minorHAnsi"/>
          <w:color w:val="000000"/>
          <w:sz w:val="14"/>
          <w:szCs w:val="14"/>
        </w:rPr>
        <w:t xml:space="preserve"> </w:t>
      </w:r>
      <w:r>
        <w:rPr>
          <w:rFonts w:cstheme="minorHAnsi"/>
          <w:color w:val="000000"/>
        </w:rPr>
        <w:t xml:space="preserve">As a </w:t>
      </w:r>
      <w:r w:rsidRPr="008D5D7B">
        <w:rPr>
          <w:rFonts w:cstheme="minorHAnsi"/>
          <w:color w:val="000000"/>
        </w:rPr>
        <w:t>result, more than half fear they might be denied medical care as they age.</w:t>
      </w:r>
      <w:r w:rsidR="00DE0367">
        <w:rPr>
          <w:rStyle w:val="FootnoteReference"/>
          <w:rFonts w:cstheme="minorHAnsi"/>
          <w:color w:val="000000"/>
        </w:rPr>
        <w:footnoteReference w:id="3"/>
      </w:r>
      <w:r w:rsidRPr="008D5D7B">
        <w:rPr>
          <w:rFonts w:cstheme="minorHAnsi"/>
          <w:color w:val="000000"/>
          <w:sz w:val="14"/>
          <w:szCs w:val="14"/>
        </w:rPr>
        <w:t xml:space="preserve"> </w:t>
      </w:r>
      <w:r>
        <w:rPr>
          <w:rFonts w:cstheme="minorHAnsi"/>
          <w:color w:val="000000"/>
        </w:rPr>
        <w:t xml:space="preserve">Many of our transgender </w:t>
      </w:r>
      <w:r w:rsidRPr="008D5D7B">
        <w:rPr>
          <w:rFonts w:cstheme="minorHAnsi"/>
          <w:color w:val="000000"/>
        </w:rPr>
        <w:t>elders fear health professionals discovering their transgender st</w:t>
      </w:r>
      <w:r>
        <w:rPr>
          <w:rFonts w:cstheme="minorHAnsi"/>
          <w:color w:val="000000"/>
        </w:rPr>
        <w:t xml:space="preserve">atus - particularly those whose </w:t>
      </w:r>
      <w:r w:rsidRPr="008D5D7B">
        <w:rPr>
          <w:rFonts w:cstheme="minorHAnsi"/>
          <w:color w:val="000000"/>
        </w:rPr>
        <w:t xml:space="preserve">presentation does not conform </w:t>
      </w:r>
      <w:proofErr w:type="gramStart"/>
      <w:r w:rsidRPr="008D5D7B">
        <w:rPr>
          <w:rFonts w:cstheme="minorHAnsi"/>
          <w:color w:val="000000"/>
        </w:rPr>
        <w:t>with</w:t>
      </w:r>
      <w:proofErr w:type="gramEnd"/>
      <w:r w:rsidRPr="008D5D7B">
        <w:rPr>
          <w:rFonts w:cstheme="minorHAnsi"/>
          <w:color w:val="000000"/>
        </w:rPr>
        <w:t xml:space="preserve"> their anatomy.</w:t>
      </w:r>
      <w:r w:rsidR="00DE0367">
        <w:rPr>
          <w:rStyle w:val="FootnoteReference"/>
          <w:rFonts w:cstheme="minorHAnsi"/>
          <w:color w:val="000000"/>
        </w:rPr>
        <w:footnoteReference w:id="4"/>
      </w:r>
      <w:r>
        <w:rPr>
          <w:rFonts w:cstheme="minorHAnsi"/>
          <w:color w:val="000000"/>
          <w:sz w:val="14"/>
          <w:szCs w:val="14"/>
        </w:rPr>
        <w:t xml:space="preserve"> </w:t>
      </w:r>
      <w:r w:rsidRPr="008D5D7B">
        <w:rPr>
          <w:rFonts w:cstheme="minorHAnsi"/>
          <w:color w:val="000000"/>
        </w:rPr>
        <w:t>These concerns are of</w:t>
      </w:r>
      <w:r>
        <w:rPr>
          <w:rFonts w:cstheme="minorHAnsi"/>
          <w:color w:val="000000"/>
        </w:rPr>
        <w:t xml:space="preserve">ten reflected in long-term care </w:t>
      </w:r>
      <w:r w:rsidRPr="008D5D7B">
        <w:rPr>
          <w:rFonts w:cstheme="minorHAnsi"/>
          <w:color w:val="000000"/>
        </w:rPr>
        <w:t>settings. In a survey on LGBT older adults living in long-term ca</w:t>
      </w:r>
      <w:r>
        <w:rPr>
          <w:rFonts w:cstheme="minorHAnsi"/>
          <w:color w:val="000000"/>
        </w:rPr>
        <w:t xml:space="preserve">re facilities, more than 10% of </w:t>
      </w:r>
      <w:r w:rsidRPr="008D5D7B">
        <w:rPr>
          <w:rFonts w:cstheme="minorHAnsi"/>
          <w:color w:val="000000"/>
        </w:rPr>
        <w:t>respondents said that they, a client, or loved-one had witnessed staff refusin</w:t>
      </w:r>
      <w:r>
        <w:rPr>
          <w:rFonts w:cstheme="minorHAnsi"/>
          <w:color w:val="000000"/>
        </w:rPr>
        <w:t xml:space="preserve">g to call transgender residents </w:t>
      </w:r>
      <w:r w:rsidRPr="008D5D7B">
        <w:rPr>
          <w:rFonts w:cstheme="minorHAnsi"/>
          <w:color w:val="000000"/>
        </w:rPr>
        <w:t>by their preferred name or pronoun.</w:t>
      </w:r>
      <w:r w:rsidR="00DE0367">
        <w:rPr>
          <w:rStyle w:val="FootnoteReference"/>
          <w:rFonts w:cstheme="minorHAnsi"/>
          <w:color w:val="000000"/>
        </w:rPr>
        <w:footnoteReference w:id="5"/>
      </w: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5D7B">
        <w:rPr>
          <w:rFonts w:cstheme="minorHAnsi"/>
          <w:color w:val="000000"/>
        </w:rPr>
        <w:t>A 2001 U.S. Administration on Aging study found that LGBT older adults are 20% less likely than other</w:t>
      </w: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8D5D7B">
        <w:rPr>
          <w:rFonts w:cstheme="minorHAnsi"/>
          <w:color w:val="000000"/>
        </w:rPr>
        <w:t>older</w:t>
      </w:r>
      <w:proofErr w:type="gramEnd"/>
      <w:r w:rsidRPr="008D5D7B">
        <w:rPr>
          <w:rFonts w:cstheme="minorHAnsi"/>
          <w:color w:val="000000"/>
        </w:rPr>
        <w:t xml:space="preserve"> adults to have access to government services such as housing assistance, meal programs, food</w:t>
      </w: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8D5D7B">
        <w:rPr>
          <w:rFonts w:cstheme="minorHAnsi"/>
          <w:color w:val="000000"/>
        </w:rPr>
        <w:t>stamps</w:t>
      </w:r>
      <w:proofErr w:type="gramEnd"/>
      <w:r w:rsidRPr="008D5D7B">
        <w:rPr>
          <w:rFonts w:cstheme="minorHAnsi"/>
          <w:color w:val="000000"/>
        </w:rPr>
        <w:t>, and senior centers.</w:t>
      </w:r>
      <w:r w:rsidR="00B13E40">
        <w:rPr>
          <w:rStyle w:val="FootnoteReference"/>
          <w:rFonts w:cstheme="minorHAnsi"/>
          <w:color w:val="000000"/>
        </w:rPr>
        <w:footnoteReference w:id="6"/>
      </w:r>
      <w:r w:rsidRPr="008D5D7B">
        <w:rPr>
          <w:rFonts w:cstheme="minorHAnsi"/>
          <w:color w:val="000000"/>
          <w:sz w:val="14"/>
          <w:szCs w:val="14"/>
        </w:rPr>
        <w:t xml:space="preserve"> </w:t>
      </w:r>
      <w:r w:rsidRPr="008D5D7B">
        <w:rPr>
          <w:rFonts w:cstheme="minorHAnsi"/>
          <w:color w:val="000000"/>
        </w:rPr>
        <w:t>In other words, despite their greater need for service providers due to their</w:t>
      </w: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8D5D7B">
        <w:rPr>
          <w:rFonts w:cstheme="minorHAnsi"/>
          <w:color w:val="000000"/>
        </w:rPr>
        <w:t>truncated</w:t>
      </w:r>
      <w:proofErr w:type="gramEnd"/>
      <w:r w:rsidRPr="008D5D7B">
        <w:rPr>
          <w:rFonts w:cstheme="minorHAnsi"/>
          <w:color w:val="000000"/>
        </w:rPr>
        <w:t xml:space="preserve"> support networks, transgender older adults lack access to culturally competent care and</w:t>
      </w: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8D5D7B">
        <w:rPr>
          <w:rFonts w:cstheme="minorHAnsi"/>
          <w:color w:val="000000"/>
        </w:rPr>
        <w:t>services</w:t>
      </w:r>
      <w:proofErr w:type="gramEnd"/>
      <w:r w:rsidRPr="008D5D7B">
        <w:rPr>
          <w:rFonts w:cstheme="minorHAnsi"/>
          <w:color w:val="000000"/>
        </w:rPr>
        <w:t>. Nonetheless, most State Units on Aging are making no systematic efforts to assess and address</w:t>
      </w: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8D5D7B">
        <w:rPr>
          <w:rFonts w:cstheme="minorHAnsi"/>
          <w:color w:val="000000"/>
        </w:rPr>
        <w:t>the</w:t>
      </w:r>
      <w:proofErr w:type="gramEnd"/>
      <w:r w:rsidRPr="008D5D7B">
        <w:rPr>
          <w:rFonts w:cstheme="minorHAnsi"/>
          <w:color w:val="000000"/>
        </w:rPr>
        <w:t xml:space="preserve"> needs of this population.</w:t>
      </w:r>
      <w:r w:rsidR="00B13E40">
        <w:rPr>
          <w:rStyle w:val="FootnoteReference"/>
          <w:rFonts w:cstheme="minorHAnsi"/>
          <w:color w:val="000000"/>
        </w:rPr>
        <w:footnoteReference w:id="7"/>
      </w:r>
      <w:r w:rsidRPr="008D5D7B">
        <w:rPr>
          <w:rFonts w:cstheme="minorHAnsi"/>
          <w:color w:val="000000"/>
          <w:sz w:val="14"/>
          <w:szCs w:val="14"/>
        </w:rPr>
        <w:t xml:space="preserve"> </w:t>
      </w:r>
      <w:r w:rsidRPr="008D5D7B">
        <w:rPr>
          <w:rFonts w:cstheme="minorHAnsi"/>
          <w:color w:val="000000"/>
        </w:rPr>
        <w:t>The very age of the 16 year-old ACL study we cite further demonstrates th</w:t>
      </w:r>
      <w:r>
        <w:rPr>
          <w:rFonts w:cstheme="minorHAnsi"/>
          <w:color w:val="000000"/>
        </w:rPr>
        <w:t xml:space="preserve">e </w:t>
      </w:r>
      <w:r w:rsidRPr="008D5D7B">
        <w:rPr>
          <w:rFonts w:cstheme="minorHAnsi"/>
          <w:color w:val="000000"/>
        </w:rPr>
        <w:t>necessity for ACL to collect updated data on whether the aging network is meeting the needs of this</w:t>
      </w: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8D5D7B">
        <w:rPr>
          <w:rFonts w:cstheme="minorHAnsi"/>
          <w:color w:val="000000"/>
        </w:rPr>
        <w:t>population</w:t>
      </w:r>
      <w:proofErr w:type="gramEnd"/>
      <w:r w:rsidRPr="008D5D7B">
        <w:rPr>
          <w:rFonts w:cstheme="minorHAnsi"/>
          <w:color w:val="000000"/>
        </w:rPr>
        <w:t>.</w:t>
      </w:r>
    </w:p>
    <w:p w:rsid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5D7B">
        <w:rPr>
          <w:rFonts w:cstheme="minorHAnsi"/>
          <w:color w:val="000000"/>
        </w:rPr>
        <w:t xml:space="preserve">Rather than abandoning the </w:t>
      </w:r>
      <w:r w:rsidR="0065287A">
        <w:rPr>
          <w:rFonts w:cstheme="minorHAnsi"/>
          <w:color w:val="000000"/>
        </w:rPr>
        <w:t>progress that has</w:t>
      </w:r>
      <w:r w:rsidRPr="008D5D7B">
        <w:rPr>
          <w:rFonts w:cstheme="minorHAnsi"/>
          <w:color w:val="000000"/>
        </w:rPr>
        <w:t xml:space="preserve"> been made during the last th</w:t>
      </w:r>
      <w:r>
        <w:rPr>
          <w:rFonts w:cstheme="minorHAnsi"/>
          <w:color w:val="000000"/>
        </w:rPr>
        <w:t xml:space="preserve">ree years, ACL can increase the </w:t>
      </w:r>
      <w:r w:rsidRPr="008D5D7B">
        <w:rPr>
          <w:rFonts w:cstheme="minorHAnsi"/>
          <w:color w:val="000000"/>
        </w:rPr>
        <w:t xml:space="preserve">quality and utility of the data it collects about transgender older adults by </w:t>
      </w:r>
      <w:r>
        <w:rPr>
          <w:rFonts w:cstheme="minorHAnsi"/>
          <w:color w:val="000000"/>
        </w:rPr>
        <w:t xml:space="preserve">learning from the experience of </w:t>
      </w:r>
      <w:r w:rsidRPr="008D5D7B">
        <w:rPr>
          <w:rFonts w:cstheme="minorHAnsi"/>
          <w:color w:val="000000"/>
        </w:rPr>
        <w:t>other federal and state agencies that have successfully implemented proced</w:t>
      </w:r>
      <w:r>
        <w:rPr>
          <w:rFonts w:cstheme="minorHAnsi"/>
          <w:color w:val="000000"/>
        </w:rPr>
        <w:t xml:space="preserve">ures to collect </w:t>
      </w:r>
      <w:r>
        <w:rPr>
          <w:rFonts w:cstheme="minorHAnsi"/>
          <w:color w:val="000000"/>
        </w:rPr>
        <w:lastRenderedPageBreak/>
        <w:t xml:space="preserve">gender identity </w:t>
      </w:r>
      <w:r w:rsidRPr="008D5D7B">
        <w:rPr>
          <w:rFonts w:cstheme="minorHAnsi"/>
          <w:color w:val="000000"/>
        </w:rPr>
        <w:t xml:space="preserve">information. To that end, we believe </w:t>
      </w:r>
      <w:r w:rsidR="0065287A">
        <w:rPr>
          <w:rFonts w:cstheme="minorHAnsi"/>
          <w:color w:val="000000"/>
        </w:rPr>
        <w:t>a</w:t>
      </w:r>
      <w:r w:rsidRPr="008D5D7B">
        <w:rPr>
          <w:rFonts w:cstheme="minorHAnsi"/>
          <w:color w:val="000000"/>
        </w:rPr>
        <w:t xml:space="preserve"> </w:t>
      </w:r>
      <w:r w:rsidR="0065287A">
        <w:rPr>
          <w:rFonts w:cstheme="minorHAnsi"/>
          <w:color w:val="000000"/>
        </w:rPr>
        <w:t xml:space="preserve">concise </w:t>
      </w:r>
      <w:r w:rsidRPr="008D5D7B">
        <w:rPr>
          <w:rFonts w:cstheme="minorHAnsi"/>
          <w:color w:val="000000"/>
        </w:rPr>
        <w:t>gender identity q</w:t>
      </w:r>
      <w:r>
        <w:rPr>
          <w:rFonts w:cstheme="minorHAnsi"/>
          <w:color w:val="000000"/>
        </w:rPr>
        <w:t>uestion</w:t>
      </w:r>
      <w:r w:rsidR="0065287A">
        <w:rPr>
          <w:rFonts w:cstheme="minorHAnsi"/>
          <w:color w:val="000000"/>
        </w:rPr>
        <w:t xml:space="preserve"> or questions</w:t>
      </w:r>
      <w:r>
        <w:rPr>
          <w:rFonts w:cstheme="minorHAnsi"/>
          <w:color w:val="000000"/>
        </w:rPr>
        <w:t xml:space="preserve"> </w:t>
      </w:r>
      <w:r w:rsidR="0065287A">
        <w:rPr>
          <w:rFonts w:cstheme="minorHAnsi"/>
          <w:color w:val="000000"/>
        </w:rPr>
        <w:t xml:space="preserve">can be </w:t>
      </w:r>
      <w:r w:rsidR="00F751E2">
        <w:rPr>
          <w:rFonts w:cstheme="minorHAnsi"/>
          <w:color w:val="000000"/>
        </w:rPr>
        <w:t>included</w:t>
      </w:r>
      <w:r w:rsidR="008835E8">
        <w:rPr>
          <w:rFonts w:cstheme="minorHAnsi"/>
          <w:color w:val="000000"/>
        </w:rPr>
        <w:t xml:space="preserve"> in this newest version of the NSOAAP</w:t>
      </w:r>
      <w:r w:rsidR="0065287A">
        <w:rPr>
          <w:rFonts w:cstheme="minorHAnsi"/>
          <w:color w:val="000000"/>
        </w:rPr>
        <w:t>.</w:t>
      </w:r>
      <w:r w:rsidRPr="008D5D7B">
        <w:rPr>
          <w:rFonts w:cstheme="minorHAnsi"/>
          <w:color w:val="000000"/>
        </w:rPr>
        <w:t xml:space="preserve"> </w:t>
      </w:r>
      <w:r w:rsidR="0065287A">
        <w:rPr>
          <w:rFonts w:cstheme="minorHAnsi"/>
          <w:color w:val="000000"/>
        </w:rPr>
        <w:t xml:space="preserve"> </w:t>
      </w:r>
      <w:r w:rsidRPr="008D5D7B">
        <w:rPr>
          <w:rFonts w:cstheme="minorHAnsi"/>
          <w:color w:val="000000"/>
        </w:rPr>
        <w:t>The Centers for Disease Control and Prev</w:t>
      </w:r>
      <w:r>
        <w:rPr>
          <w:rFonts w:cstheme="minorHAnsi"/>
          <w:color w:val="000000"/>
        </w:rPr>
        <w:t xml:space="preserve">ention’s Behavioral Risk Factor </w:t>
      </w:r>
      <w:r w:rsidRPr="008D5D7B">
        <w:rPr>
          <w:rFonts w:cstheme="minorHAnsi"/>
          <w:color w:val="000000"/>
        </w:rPr>
        <w:t>Surveillance System (“BRFSS”), which is the largest ongoing health surv</w:t>
      </w:r>
      <w:r>
        <w:rPr>
          <w:rFonts w:cstheme="minorHAnsi"/>
          <w:color w:val="000000"/>
        </w:rPr>
        <w:t xml:space="preserve">ey system in the world, and its </w:t>
      </w:r>
      <w:r w:rsidRPr="008D5D7B">
        <w:rPr>
          <w:rFonts w:cstheme="minorHAnsi"/>
          <w:color w:val="000000"/>
        </w:rPr>
        <w:t>state partners, provide a number of examples of how ACL can successfully identify transgender</w:t>
      </w:r>
      <w:r>
        <w:rPr>
          <w:rFonts w:cstheme="minorHAnsi"/>
          <w:color w:val="000000"/>
        </w:rPr>
        <w:t xml:space="preserve"> </w:t>
      </w:r>
      <w:r w:rsidR="008835E8">
        <w:rPr>
          <w:rFonts w:cstheme="minorHAnsi"/>
          <w:color w:val="000000"/>
        </w:rPr>
        <w:t>i</w:t>
      </w:r>
      <w:r w:rsidRPr="008D5D7B">
        <w:rPr>
          <w:rFonts w:cstheme="minorHAnsi"/>
          <w:color w:val="000000"/>
        </w:rPr>
        <w:t>ndividuals.</w:t>
      </w:r>
      <w:r w:rsidR="00B13E40">
        <w:rPr>
          <w:rStyle w:val="FootnoteReference"/>
          <w:rFonts w:cstheme="minorHAnsi"/>
          <w:color w:val="000000"/>
        </w:rPr>
        <w:footnoteReference w:id="8"/>
      </w:r>
      <w:r w:rsidR="008835E8">
        <w:rPr>
          <w:rFonts w:cstheme="minorHAnsi"/>
          <w:color w:val="000000"/>
        </w:rPr>
        <w:t xml:space="preserve"> </w:t>
      </w:r>
      <w:r w:rsidRPr="008D5D7B">
        <w:rPr>
          <w:rFonts w:cstheme="minorHAnsi"/>
          <w:color w:val="000000"/>
        </w:rPr>
        <w:t>The Gender Identity in U.S. Surveillance (</w:t>
      </w:r>
      <w:proofErr w:type="spellStart"/>
      <w:r w:rsidRPr="008D5D7B">
        <w:rPr>
          <w:rFonts w:cstheme="minorHAnsi"/>
          <w:color w:val="000000"/>
        </w:rPr>
        <w:t>GenIUSS</w:t>
      </w:r>
      <w:proofErr w:type="spellEnd"/>
      <w:r w:rsidRPr="008D5D7B">
        <w:rPr>
          <w:rFonts w:cstheme="minorHAnsi"/>
          <w:color w:val="000000"/>
        </w:rPr>
        <w:t>) Group provides another, particularly</w:t>
      </w:r>
      <w:r w:rsidR="008835E8">
        <w:rPr>
          <w:rFonts w:cstheme="minorHAnsi"/>
          <w:color w:val="000000"/>
        </w:rPr>
        <w:t xml:space="preserve"> </w:t>
      </w:r>
      <w:r w:rsidRPr="008D5D7B">
        <w:rPr>
          <w:rFonts w:cstheme="minorHAnsi"/>
          <w:color w:val="000000"/>
        </w:rPr>
        <w:t>effective, and well-vetted two-step approach to collecting information about gender identity.</w:t>
      </w:r>
      <w:r w:rsidR="00B13E40">
        <w:rPr>
          <w:rStyle w:val="FootnoteReference"/>
          <w:rFonts w:cstheme="minorHAnsi"/>
          <w:color w:val="000000"/>
        </w:rPr>
        <w:footnoteReference w:id="9"/>
      </w:r>
      <w:r w:rsidRPr="008D5D7B">
        <w:rPr>
          <w:rFonts w:cstheme="minorHAnsi"/>
          <w:color w:val="000000"/>
          <w:sz w:val="14"/>
          <w:szCs w:val="14"/>
        </w:rPr>
        <w:t xml:space="preserve"> </w:t>
      </w:r>
      <w:r w:rsidRPr="008D5D7B">
        <w:rPr>
          <w:rFonts w:cstheme="minorHAnsi"/>
          <w:color w:val="000000"/>
        </w:rPr>
        <w:t>In short,</w:t>
      </w:r>
      <w:r w:rsidR="008835E8">
        <w:rPr>
          <w:rFonts w:cstheme="minorHAnsi"/>
          <w:color w:val="000000"/>
        </w:rPr>
        <w:t xml:space="preserve"> </w:t>
      </w:r>
      <w:r w:rsidRPr="008D5D7B">
        <w:rPr>
          <w:rFonts w:cstheme="minorHAnsi"/>
          <w:color w:val="000000"/>
        </w:rPr>
        <w:t xml:space="preserve">we encourage ACL to update its approach, rather than abandoning </w:t>
      </w:r>
      <w:r w:rsidR="003E5FDB">
        <w:rPr>
          <w:rFonts w:cstheme="minorHAnsi"/>
          <w:color w:val="000000"/>
        </w:rPr>
        <w:t>transgender older adults</w:t>
      </w:r>
      <w:r w:rsidRPr="008D5D7B">
        <w:rPr>
          <w:rFonts w:cstheme="minorHAnsi"/>
          <w:color w:val="000000"/>
        </w:rPr>
        <w:t>, and adopt one of these</w:t>
      </w:r>
      <w:r w:rsidR="003E5FDB">
        <w:rPr>
          <w:rFonts w:cstheme="minorHAnsi"/>
          <w:color w:val="000000"/>
        </w:rPr>
        <w:t xml:space="preserve"> </w:t>
      </w:r>
      <w:r w:rsidRPr="008D5D7B">
        <w:rPr>
          <w:rFonts w:cstheme="minorHAnsi"/>
          <w:color w:val="000000"/>
        </w:rPr>
        <w:t>more effective and efficient means of counting transgender elders.</w:t>
      </w:r>
    </w:p>
    <w:p w:rsid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5D7B">
        <w:rPr>
          <w:rFonts w:cstheme="minorHAnsi"/>
          <w:color w:val="000000"/>
        </w:rPr>
        <w:t>ACL must continue collecting data on whether the aging network is reaching transgender older adults in</w:t>
      </w: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8D5D7B">
        <w:rPr>
          <w:rFonts w:cstheme="minorHAnsi"/>
          <w:color w:val="000000"/>
        </w:rPr>
        <w:t>order</w:t>
      </w:r>
      <w:proofErr w:type="gramEnd"/>
      <w:r w:rsidRPr="008D5D7B">
        <w:rPr>
          <w:rFonts w:cstheme="minorHAnsi"/>
          <w:color w:val="000000"/>
        </w:rPr>
        <w:t xml:space="preserve"> to ensure maximum inclusion of transgender older adults in programs funded under the Older</w:t>
      </w: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5D7B">
        <w:rPr>
          <w:rFonts w:cstheme="minorHAnsi"/>
          <w:color w:val="000000"/>
        </w:rPr>
        <w:t>Americans Act (OAA). From State Units on Aging to Area Agencies on Aging, the aging network has</w:t>
      </w: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8D5D7B">
        <w:rPr>
          <w:rFonts w:cstheme="minorHAnsi"/>
          <w:color w:val="000000"/>
        </w:rPr>
        <w:t>asked</w:t>
      </w:r>
      <w:proofErr w:type="gramEnd"/>
      <w:r w:rsidRPr="008D5D7B">
        <w:rPr>
          <w:rFonts w:cstheme="minorHAnsi"/>
          <w:color w:val="000000"/>
        </w:rPr>
        <w:t xml:space="preserve"> ACL for more and better data on transgender older adults in the communities it serves.</w:t>
      </w:r>
      <w:r w:rsidR="00B13E40">
        <w:rPr>
          <w:rStyle w:val="FootnoteReference"/>
          <w:rFonts w:cstheme="minorHAnsi"/>
          <w:color w:val="000000"/>
        </w:rPr>
        <w:footnoteReference w:id="10"/>
      </w:r>
      <w:r w:rsidRPr="008D5D7B">
        <w:rPr>
          <w:rFonts w:cstheme="minorHAnsi"/>
          <w:color w:val="000000"/>
          <w:sz w:val="14"/>
          <w:szCs w:val="14"/>
        </w:rPr>
        <w:t xml:space="preserve"> </w:t>
      </w:r>
      <w:r w:rsidRPr="008D5D7B">
        <w:rPr>
          <w:rFonts w:cstheme="minorHAnsi"/>
          <w:color w:val="000000"/>
        </w:rPr>
        <w:t>We need</w:t>
      </w: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8D5D7B">
        <w:rPr>
          <w:rFonts w:cstheme="minorHAnsi"/>
          <w:color w:val="000000"/>
        </w:rPr>
        <w:t>more</w:t>
      </w:r>
      <w:proofErr w:type="gramEnd"/>
      <w:r w:rsidRPr="008D5D7B">
        <w:rPr>
          <w:rFonts w:cstheme="minorHAnsi"/>
          <w:color w:val="000000"/>
        </w:rPr>
        <w:t xml:space="preserve"> of this data on the experiences and needs of transgender elders in our country – not less of it.</w:t>
      </w: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5D7B">
        <w:rPr>
          <w:rFonts w:cstheme="minorHAnsi"/>
          <w:color w:val="000000"/>
        </w:rPr>
        <w:t xml:space="preserve">We therefore urge ACL to </w:t>
      </w:r>
      <w:r w:rsidR="003E5FDB">
        <w:rPr>
          <w:rFonts w:cstheme="minorHAnsi"/>
          <w:color w:val="000000"/>
        </w:rPr>
        <w:t>include</w:t>
      </w:r>
      <w:r w:rsidR="003E5FDB" w:rsidRPr="008D5D7B">
        <w:rPr>
          <w:rFonts w:cstheme="minorHAnsi"/>
          <w:color w:val="000000"/>
        </w:rPr>
        <w:t xml:space="preserve"> </w:t>
      </w:r>
      <w:r w:rsidRPr="008D5D7B">
        <w:rPr>
          <w:rFonts w:cstheme="minorHAnsi"/>
          <w:color w:val="000000"/>
        </w:rPr>
        <w:t>both sexual orientation and gender identity questions in the NSOAAP.</w:t>
      </w: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5D7B">
        <w:rPr>
          <w:rFonts w:cstheme="minorHAnsi"/>
          <w:color w:val="000000"/>
        </w:rPr>
        <w:t>Asking a demographic question about gender identity will increase the quality, utility, and clarity of the</w:t>
      </w:r>
    </w:p>
    <w:p w:rsid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8D5D7B">
        <w:rPr>
          <w:rFonts w:cstheme="minorHAnsi"/>
          <w:color w:val="000000"/>
        </w:rPr>
        <w:t>information</w:t>
      </w:r>
      <w:proofErr w:type="gramEnd"/>
      <w:r w:rsidRPr="008D5D7B">
        <w:rPr>
          <w:rFonts w:cstheme="minorHAnsi"/>
          <w:color w:val="000000"/>
        </w:rPr>
        <w:t xml:space="preserve"> collected. We further believe that by continuing to collect thi</w:t>
      </w:r>
      <w:r>
        <w:rPr>
          <w:rFonts w:cstheme="minorHAnsi"/>
          <w:color w:val="000000"/>
        </w:rPr>
        <w:t xml:space="preserve">s data, and learning more about </w:t>
      </w:r>
      <w:r w:rsidRPr="008D5D7B">
        <w:rPr>
          <w:rFonts w:cstheme="minorHAnsi"/>
          <w:color w:val="000000"/>
        </w:rPr>
        <w:t>this population, ACL and the aging network will help more members of our older transgender co</w:t>
      </w:r>
      <w:r>
        <w:rPr>
          <w:rFonts w:cstheme="minorHAnsi"/>
          <w:color w:val="000000"/>
        </w:rPr>
        <w:t xml:space="preserve">mmunity </w:t>
      </w:r>
      <w:r w:rsidRPr="008D5D7B">
        <w:rPr>
          <w:rFonts w:cstheme="minorHAnsi"/>
          <w:color w:val="000000"/>
        </w:rPr>
        <w:t>to live independently, minimize the burden on the aging network, and ult</w:t>
      </w:r>
      <w:r>
        <w:rPr>
          <w:rFonts w:cstheme="minorHAnsi"/>
          <w:color w:val="000000"/>
        </w:rPr>
        <w:t xml:space="preserve">imately save taxpayer resources </w:t>
      </w:r>
      <w:r w:rsidRPr="008D5D7B">
        <w:rPr>
          <w:rFonts w:cstheme="minorHAnsi"/>
          <w:color w:val="000000"/>
        </w:rPr>
        <w:t>by reaching those who are most vulnerable.</w:t>
      </w:r>
    </w:p>
    <w:p w:rsidR="008A7283" w:rsidRDefault="008A7283" w:rsidP="008835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835E8" w:rsidRPr="008D5D7B" w:rsidRDefault="008835E8" w:rsidP="008835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5D7B">
        <w:rPr>
          <w:rFonts w:cstheme="minorHAnsi"/>
          <w:color w:val="000000"/>
        </w:rPr>
        <w:t>Sincerely,</w:t>
      </w:r>
    </w:p>
    <w:p w:rsidR="008A7283" w:rsidRDefault="008A7283" w:rsidP="008835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A7283" w:rsidRDefault="008A7283" w:rsidP="008835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835E8" w:rsidRPr="008D5D7B" w:rsidRDefault="008835E8" w:rsidP="008835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5D7B">
        <w:rPr>
          <w:rFonts w:cstheme="minorHAnsi"/>
          <w:color w:val="000000"/>
        </w:rPr>
        <w:t xml:space="preserve">James P. </w:t>
      </w:r>
      <w:proofErr w:type="spellStart"/>
      <w:r w:rsidRPr="008D5D7B">
        <w:rPr>
          <w:rFonts w:cstheme="minorHAnsi"/>
          <w:color w:val="000000"/>
        </w:rPr>
        <w:t>Firman</w:t>
      </w:r>
      <w:proofErr w:type="spellEnd"/>
      <w:r w:rsidRPr="008D5D7B">
        <w:rPr>
          <w:rFonts w:cstheme="minorHAnsi"/>
          <w:color w:val="000000"/>
        </w:rPr>
        <w:t xml:space="preserve">, </w:t>
      </w:r>
      <w:proofErr w:type="spellStart"/>
      <w:r w:rsidRPr="008D5D7B">
        <w:rPr>
          <w:rFonts w:cstheme="minorHAnsi"/>
          <w:color w:val="000000"/>
        </w:rPr>
        <w:t>Ed.D</w:t>
      </w:r>
      <w:proofErr w:type="spellEnd"/>
      <w:r w:rsidRPr="008D5D7B">
        <w:rPr>
          <w:rFonts w:cstheme="minorHAnsi"/>
          <w:color w:val="000000"/>
        </w:rPr>
        <w:t>.</w:t>
      </w:r>
    </w:p>
    <w:p w:rsidR="008835E8" w:rsidRPr="008D5D7B" w:rsidRDefault="008835E8" w:rsidP="008835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8D5D7B">
        <w:rPr>
          <w:rFonts w:cstheme="minorHAnsi"/>
          <w:color w:val="000000"/>
        </w:rPr>
        <w:t>President &amp;</w:t>
      </w:r>
      <w:proofErr w:type="gramEnd"/>
      <w:r w:rsidRPr="008D5D7B">
        <w:rPr>
          <w:rFonts w:cstheme="minorHAnsi"/>
          <w:color w:val="000000"/>
        </w:rPr>
        <w:t xml:space="preserve"> CEO, National Council on Aging</w:t>
      </w:r>
    </w:p>
    <w:p w:rsidR="008835E8" w:rsidRDefault="008835E8" w:rsidP="008835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5D7B">
        <w:rPr>
          <w:rFonts w:cstheme="minorHAnsi"/>
          <w:color w:val="000000"/>
        </w:rPr>
        <w:t>Chair, Leadership Council of Aging Organizations</w:t>
      </w:r>
    </w:p>
    <w:p w:rsidR="008A7283" w:rsidRDefault="008A7283" w:rsidP="008835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835E8" w:rsidRPr="008D5D7B" w:rsidRDefault="008835E8" w:rsidP="008835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5D7B">
        <w:rPr>
          <w:rFonts w:cstheme="minorHAnsi"/>
          <w:color w:val="000000"/>
        </w:rPr>
        <w:t>cc:</w:t>
      </w:r>
    </w:p>
    <w:p w:rsidR="008835E8" w:rsidRPr="008D5D7B" w:rsidRDefault="008835E8" w:rsidP="008835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5D7B">
        <w:rPr>
          <w:rFonts w:cstheme="minorHAnsi"/>
          <w:color w:val="000000"/>
        </w:rPr>
        <w:t xml:space="preserve">The Honorable </w:t>
      </w:r>
      <w:r w:rsidRPr="003E5FDB">
        <w:rPr>
          <w:rFonts w:cstheme="minorHAnsi"/>
          <w:color w:val="000000"/>
        </w:rPr>
        <w:t xml:space="preserve">Eric D. </w:t>
      </w:r>
      <w:proofErr w:type="spellStart"/>
      <w:r w:rsidRPr="003E5FDB">
        <w:rPr>
          <w:rFonts w:cstheme="minorHAnsi"/>
          <w:color w:val="000000"/>
        </w:rPr>
        <w:t>Hargan</w:t>
      </w:r>
      <w:proofErr w:type="spellEnd"/>
    </w:p>
    <w:p w:rsidR="008835E8" w:rsidRDefault="008835E8" w:rsidP="008835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E5FDB">
        <w:rPr>
          <w:rFonts w:cstheme="minorHAnsi"/>
          <w:color w:val="000000"/>
        </w:rPr>
        <w:t xml:space="preserve">Acting Secretary and Deputy Secretary </w:t>
      </w:r>
    </w:p>
    <w:p w:rsidR="008835E8" w:rsidRPr="008D5D7B" w:rsidRDefault="008835E8" w:rsidP="008835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5D7B">
        <w:rPr>
          <w:rFonts w:cstheme="minorHAnsi"/>
          <w:color w:val="000000"/>
        </w:rPr>
        <w:t>The U.S. Department of Health &amp; Human Services</w:t>
      </w:r>
    </w:p>
    <w:p w:rsidR="008835E8" w:rsidRDefault="008835E8" w:rsidP="008835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835E8" w:rsidRPr="008D5D7B" w:rsidRDefault="008835E8" w:rsidP="008835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Mr. Lance Robertson</w:t>
      </w:r>
    </w:p>
    <w:p w:rsidR="008835E8" w:rsidRPr="008D5D7B" w:rsidRDefault="008835E8" w:rsidP="008835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5D7B">
        <w:rPr>
          <w:rFonts w:cstheme="minorHAnsi"/>
          <w:color w:val="000000"/>
        </w:rPr>
        <w:t>Assistant Secretary for Aging</w:t>
      </w:r>
    </w:p>
    <w:p w:rsidR="008835E8" w:rsidRPr="008D5D7B" w:rsidRDefault="008835E8" w:rsidP="008835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5D7B">
        <w:rPr>
          <w:rFonts w:cstheme="minorHAnsi"/>
          <w:color w:val="000000"/>
        </w:rPr>
        <w:lastRenderedPageBreak/>
        <w:t>Administrator</w:t>
      </w:r>
    </w:p>
    <w:p w:rsidR="008835E8" w:rsidRPr="008D5D7B" w:rsidRDefault="008835E8" w:rsidP="008835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5D7B">
        <w:rPr>
          <w:rFonts w:cstheme="minorHAnsi"/>
          <w:color w:val="000000"/>
        </w:rPr>
        <w:t>Administration for Community Living</w:t>
      </w: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D5D7B" w:rsidRPr="008D5D7B" w:rsidRDefault="008D5D7B" w:rsidP="008D5D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147732" w:rsidRPr="008D5D7B" w:rsidRDefault="00147732" w:rsidP="008D5D7B">
      <w:pPr>
        <w:rPr>
          <w:rFonts w:cstheme="minorHAnsi"/>
        </w:rPr>
      </w:pPr>
    </w:p>
    <w:sectPr w:rsidR="00147732" w:rsidRPr="008D5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411" w:rsidRDefault="00CB4411" w:rsidP="00DE0367">
      <w:pPr>
        <w:spacing w:after="0" w:line="240" w:lineRule="auto"/>
      </w:pPr>
      <w:r>
        <w:separator/>
      </w:r>
    </w:p>
  </w:endnote>
  <w:endnote w:type="continuationSeparator" w:id="0">
    <w:p w:rsidR="00CB4411" w:rsidRDefault="00CB4411" w:rsidP="00DE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411" w:rsidRDefault="00CB4411" w:rsidP="00DE0367">
      <w:pPr>
        <w:spacing w:after="0" w:line="240" w:lineRule="auto"/>
      </w:pPr>
      <w:r>
        <w:separator/>
      </w:r>
    </w:p>
  </w:footnote>
  <w:footnote w:type="continuationSeparator" w:id="0">
    <w:p w:rsidR="00CB4411" w:rsidRDefault="00CB4411" w:rsidP="00DE0367">
      <w:pPr>
        <w:spacing w:after="0" w:line="240" w:lineRule="auto"/>
      </w:pPr>
      <w:r>
        <w:continuationSeparator/>
      </w:r>
    </w:p>
  </w:footnote>
  <w:footnote w:id="1">
    <w:p w:rsidR="00DE0367" w:rsidRPr="008D5D7B" w:rsidRDefault="00DE0367" w:rsidP="00B13E4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8D5D7B">
        <w:rPr>
          <w:rFonts w:cstheme="minorHAnsi"/>
          <w:color w:val="000000"/>
          <w:sz w:val="16"/>
          <w:szCs w:val="16"/>
        </w:rPr>
        <w:t>Understanding Issues Facing LGBT Older Adults. 2017. The Movement Advancement Project and SAGE.</w:t>
      </w:r>
    </w:p>
    <w:p w:rsidR="00DE0367" w:rsidRPr="008D5D7B" w:rsidRDefault="00DE0367" w:rsidP="006B67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16"/>
          <w:szCs w:val="16"/>
        </w:rPr>
      </w:pPr>
      <w:r w:rsidRPr="008D5D7B">
        <w:rPr>
          <w:rFonts w:cstheme="minorHAnsi"/>
          <w:color w:val="0000FF"/>
          <w:sz w:val="16"/>
          <w:szCs w:val="16"/>
        </w:rPr>
        <w:t>http://www.lgbtmap.org/file/understanding-issues-facing-lgbt-older-adults.pdf</w:t>
      </w:r>
    </w:p>
    <w:p w:rsidR="00DE0367" w:rsidRDefault="00DE0367" w:rsidP="006B6773">
      <w:pPr>
        <w:pStyle w:val="FootnoteText"/>
      </w:pPr>
    </w:p>
  </w:footnote>
  <w:footnote w:id="2">
    <w:p w:rsidR="00DE0367" w:rsidRPr="008D5D7B" w:rsidRDefault="00DE0367" w:rsidP="006B67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8D5D7B">
        <w:rPr>
          <w:rFonts w:cstheme="minorHAnsi"/>
          <w:color w:val="000000"/>
          <w:sz w:val="16"/>
          <w:szCs w:val="16"/>
        </w:rPr>
        <w:t>Understanding Issues Facing LGBT Older Adults. 2017. The Movement Advancement Project and SAGE.</w:t>
      </w:r>
    </w:p>
    <w:p w:rsidR="00DE0367" w:rsidRPr="008D5D7B" w:rsidRDefault="00DE0367" w:rsidP="006B67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16"/>
          <w:szCs w:val="16"/>
        </w:rPr>
      </w:pPr>
      <w:r w:rsidRPr="008D5D7B">
        <w:rPr>
          <w:rFonts w:cstheme="minorHAnsi"/>
          <w:color w:val="0000FF"/>
          <w:sz w:val="16"/>
          <w:szCs w:val="16"/>
        </w:rPr>
        <w:t>http://www.lgbtmap.org/file/understanding-issues-facing-lgbt-older-adults.pdf</w:t>
      </w:r>
    </w:p>
    <w:p w:rsidR="00DE0367" w:rsidRDefault="00DE0367" w:rsidP="006B6773">
      <w:pPr>
        <w:pStyle w:val="FootnoteText"/>
      </w:pPr>
    </w:p>
  </w:footnote>
  <w:footnote w:id="3">
    <w:p w:rsidR="00DE0367" w:rsidRPr="008D5D7B" w:rsidRDefault="00DE0367" w:rsidP="006B67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8D5D7B">
        <w:rPr>
          <w:rFonts w:cstheme="minorHAnsi"/>
          <w:color w:val="000000"/>
          <w:sz w:val="16"/>
          <w:szCs w:val="16"/>
        </w:rPr>
        <w:t>Understanding Issues Facing LGBT Older Adults. 2017. The Movement Advancement Project and SAGE.</w:t>
      </w:r>
    </w:p>
    <w:p w:rsidR="00DE0367" w:rsidRPr="008D5D7B" w:rsidRDefault="00DE0367" w:rsidP="006B67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16"/>
          <w:szCs w:val="16"/>
        </w:rPr>
      </w:pPr>
      <w:r w:rsidRPr="008D5D7B">
        <w:rPr>
          <w:rFonts w:cstheme="minorHAnsi"/>
          <w:color w:val="0000FF"/>
          <w:sz w:val="16"/>
          <w:szCs w:val="16"/>
        </w:rPr>
        <w:t>http://www.lgbtmap.org/file/understanding-issues-facing-lgbt-older-adults.pdf</w:t>
      </w:r>
    </w:p>
    <w:p w:rsidR="00DE0367" w:rsidRDefault="00DE0367" w:rsidP="006B6773">
      <w:pPr>
        <w:pStyle w:val="FootnoteText"/>
      </w:pPr>
    </w:p>
  </w:footnote>
  <w:footnote w:id="4">
    <w:p w:rsidR="00DE0367" w:rsidRPr="008D5D7B" w:rsidRDefault="00DE0367" w:rsidP="006B67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8D5D7B">
        <w:rPr>
          <w:rFonts w:cstheme="minorHAnsi"/>
          <w:color w:val="000000"/>
          <w:sz w:val="16"/>
          <w:szCs w:val="16"/>
        </w:rPr>
        <w:t>Improving the Lives of Transgender Older Adults, Recommendations for Policy and Practice. 2012. SAGE and NCTE.</w:t>
      </w:r>
      <w:r w:rsidR="00B13E40">
        <w:rPr>
          <w:rFonts w:cstheme="minorHAnsi"/>
          <w:color w:val="000000"/>
          <w:sz w:val="16"/>
          <w:szCs w:val="16"/>
        </w:rPr>
        <w:t xml:space="preserve">  </w:t>
      </w:r>
      <w:r w:rsidR="00B13E40" w:rsidRPr="008D5D7B">
        <w:rPr>
          <w:rFonts w:cstheme="minorHAnsi"/>
          <w:color w:val="000000"/>
          <w:sz w:val="16"/>
          <w:szCs w:val="16"/>
        </w:rPr>
        <w:t>Available at</w:t>
      </w:r>
    </w:p>
    <w:p w:rsidR="00DE0367" w:rsidRPr="008D5D7B" w:rsidRDefault="00DE0367" w:rsidP="006B67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16"/>
          <w:szCs w:val="16"/>
        </w:rPr>
      </w:pPr>
      <w:r w:rsidRPr="008D5D7B">
        <w:rPr>
          <w:rFonts w:cstheme="minorHAnsi"/>
          <w:color w:val="0000FF"/>
          <w:sz w:val="16"/>
          <w:szCs w:val="16"/>
        </w:rPr>
        <w:t>http://www.sageusa.org/resources/publications.cfm?ID=13</w:t>
      </w:r>
    </w:p>
    <w:p w:rsidR="00DE0367" w:rsidRDefault="00DE0367" w:rsidP="006B6773">
      <w:pPr>
        <w:pStyle w:val="FootnoteText"/>
      </w:pPr>
    </w:p>
  </w:footnote>
  <w:footnote w:id="5">
    <w:p w:rsidR="00DE0367" w:rsidRPr="008D5D7B" w:rsidRDefault="00DE0367" w:rsidP="006B67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8D5D7B">
        <w:rPr>
          <w:rFonts w:cstheme="minorHAnsi"/>
          <w:color w:val="000000"/>
          <w:sz w:val="16"/>
          <w:szCs w:val="16"/>
        </w:rPr>
        <w:t>Improving the Lives of Transgender Older Adults, Recommendations for Policy and Practice. 2012. SAGE and NCTE. Available at</w:t>
      </w:r>
    </w:p>
    <w:p w:rsidR="00DE0367" w:rsidRPr="008D5D7B" w:rsidRDefault="00DE0367" w:rsidP="006B67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16"/>
          <w:szCs w:val="16"/>
        </w:rPr>
      </w:pPr>
      <w:r w:rsidRPr="008D5D7B">
        <w:rPr>
          <w:rFonts w:cstheme="minorHAnsi"/>
          <w:color w:val="0000FF"/>
          <w:sz w:val="16"/>
          <w:szCs w:val="16"/>
        </w:rPr>
        <w:t>http://www.sageusa.org/resources/publications.cfm?ID=13</w:t>
      </w:r>
    </w:p>
    <w:p w:rsidR="00DE0367" w:rsidRDefault="00DE0367" w:rsidP="006B6773">
      <w:pPr>
        <w:pStyle w:val="FootnoteText"/>
      </w:pPr>
    </w:p>
  </w:footnote>
  <w:footnote w:id="6">
    <w:p w:rsidR="00B13E40" w:rsidRPr="006B6773" w:rsidRDefault="00B13E40" w:rsidP="006B67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8D5D7B">
        <w:rPr>
          <w:rFonts w:cstheme="minorHAnsi"/>
          <w:color w:val="000000"/>
          <w:sz w:val="16"/>
          <w:szCs w:val="16"/>
        </w:rPr>
        <w:t>Improving the Lives of LGBT Older Adults. 2010. LGBT Movement Advancement Project &amp; Services and Advocacy for Gay, Lesbian, Bisexual and</w:t>
      </w:r>
      <w:r>
        <w:rPr>
          <w:rFonts w:cstheme="minorHAnsi"/>
          <w:color w:val="000000"/>
          <w:sz w:val="16"/>
          <w:szCs w:val="16"/>
        </w:rPr>
        <w:t xml:space="preserve"> </w:t>
      </w:r>
      <w:r w:rsidRPr="008D5D7B">
        <w:rPr>
          <w:rFonts w:cstheme="minorHAnsi"/>
          <w:color w:val="000000"/>
          <w:sz w:val="16"/>
          <w:szCs w:val="16"/>
        </w:rPr>
        <w:t xml:space="preserve">Transgender Elders (MAP &amp; SAGE). Available at </w:t>
      </w:r>
      <w:r w:rsidRPr="008D5D7B">
        <w:rPr>
          <w:rFonts w:cstheme="minorHAnsi"/>
          <w:color w:val="0000FF"/>
          <w:sz w:val="16"/>
          <w:szCs w:val="16"/>
        </w:rPr>
        <w:t>http://www.lgbtmap.org/file/improving-the-lives-of-lgbt-older-adults.pdf</w:t>
      </w:r>
    </w:p>
    <w:p w:rsidR="00B13E40" w:rsidRDefault="00B13E40" w:rsidP="006B6773">
      <w:pPr>
        <w:pStyle w:val="FootnoteText"/>
      </w:pPr>
    </w:p>
  </w:footnote>
  <w:footnote w:id="7">
    <w:p w:rsidR="00B13E40" w:rsidRPr="008D5D7B" w:rsidRDefault="00B13E40" w:rsidP="006B67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8D5D7B">
        <w:rPr>
          <w:rFonts w:cstheme="minorHAnsi"/>
          <w:color w:val="000000"/>
          <w:sz w:val="16"/>
          <w:szCs w:val="16"/>
        </w:rPr>
        <w:t>A SAGE report found that: State Plans filed by 29 States make no reference whatsoever to LGBT older adults; an additional 12 State Plans have</w:t>
      </w:r>
    </w:p>
    <w:p w:rsidR="00B13E40" w:rsidRPr="008D5D7B" w:rsidRDefault="00B13E40" w:rsidP="006B67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8D5D7B">
        <w:rPr>
          <w:rFonts w:cstheme="minorHAnsi"/>
          <w:color w:val="000000"/>
          <w:sz w:val="16"/>
          <w:szCs w:val="16"/>
        </w:rPr>
        <w:t>isolated references to LGBT older adults, but do not address specific actions being taken to reach and target this population; and only nine</w:t>
      </w:r>
    </w:p>
    <w:p w:rsidR="00B13E40" w:rsidRDefault="00B13E40" w:rsidP="006B67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8D5D7B">
        <w:rPr>
          <w:rFonts w:cstheme="minorHAnsi"/>
          <w:color w:val="000000"/>
          <w:sz w:val="16"/>
          <w:szCs w:val="16"/>
        </w:rPr>
        <w:t>States, and the District of Columbia, specifically address efforts to reach out and target LGBT older adults.</w:t>
      </w:r>
    </w:p>
    <w:p w:rsidR="00B13E40" w:rsidRDefault="00B13E40" w:rsidP="006B6773">
      <w:pPr>
        <w:pStyle w:val="FootnoteText"/>
      </w:pPr>
    </w:p>
  </w:footnote>
  <w:footnote w:id="8">
    <w:p w:rsidR="00B13E40" w:rsidRPr="006B6773" w:rsidRDefault="00B13E40" w:rsidP="006B6773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T15Ct00" w:hAnsi="TT15Ct00" w:cs="TT15Ct00"/>
          <w:color w:val="000000"/>
          <w:sz w:val="16"/>
          <w:szCs w:val="16"/>
        </w:rPr>
        <w:t>The 2013 Massachusetts SOGI module for the BRFSS includes the following question: Some people describe themselves as transgender when</w:t>
      </w:r>
      <w:r>
        <w:rPr>
          <w:rFonts w:ascii="TT15Ct00" w:hAnsi="TT15Ct00" w:cs="TT15Ct00"/>
          <w:color w:val="000000"/>
          <w:sz w:val="16"/>
          <w:szCs w:val="16"/>
        </w:rPr>
        <w:t xml:space="preserve"> </w:t>
      </w:r>
      <w:r>
        <w:rPr>
          <w:rFonts w:ascii="TT15Ct00" w:hAnsi="TT15Ct00" w:cs="TT15Ct00"/>
          <w:color w:val="000000"/>
          <w:sz w:val="16"/>
          <w:szCs w:val="16"/>
        </w:rPr>
        <w:t>they experience a different gender identity from their sex at birth. For example, a person born into a male body, but who feels female or lives</w:t>
      </w:r>
      <w:r>
        <w:rPr>
          <w:rFonts w:ascii="TT15Ct00" w:hAnsi="TT15Ct00" w:cs="TT15Ct00"/>
          <w:color w:val="000000"/>
          <w:sz w:val="16"/>
          <w:szCs w:val="16"/>
        </w:rPr>
        <w:t xml:space="preserve"> </w:t>
      </w:r>
      <w:r>
        <w:rPr>
          <w:rFonts w:ascii="TT15Ct00" w:hAnsi="TT15Ct00" w:cs="TT15Ct00"/>
          <w:color w:val="000000"/>
          <w:sz w:val="16"/>
          <w:szCs w:val="16"/>
        </w:rPr>
        <w:t>as a woman. Do you consider yourself to be transgender? Yes, transgender, male to female; Yes, transgender, female to male; Yes, transgender,</w:t>
      </w:r>
      <w:r>
        <w:rPr>
          <w:rFonts w:ascii="TT15Ct00" w:hAnsi="TT15Ct00" w:cs="TT15Ct00"/>
          <w:color w:val="000000"/>
          <w:sz w:val="16"/>
          <w:szCs w:val="16"/>
        </w:rPr>
        <w:t xml:space="preserve"> </w:t>
      </w:r>
      <w:r>
        <w:rPr>
          <w:rFonts w:ascii="TT15Ct00" w:hAnsi="TT15Ct00" w:cs="TT15Ct00"/>
          <w:color w:val="000000"/>
          <w:sz w:val="16"/>
          <w:szCs w:val="16"/>
        </w:rPr>
        <w:t>gender non-conforming; or No. See Williams Inst., Best Practices for Asking Questions to Identify Transgender and Other Gender Minorities on</w:t>
      </w:r>
      <w:r>
        <w:rPr>
          <w:rFonts w:ascii="TT15Ct00" w:hAnsi="TT15Ct00" w:cs="TT15Ct00"/>
          <w:color w:val="000000"/>
          <w:sz w:val="16"/>
          <w:szCs w:val="16"/>
        </w:rPr>
        <w:t xml:space="preserve"> </w:t>
      </w:r>
      <w:r>
        <w:rPr>
          <w:rFonts w:ascii="TT15Ct00" w:hAnsi="TT15Ct00" w:cs="TT15Ct00"/>
          <w:color w:val="000000"/>
          <w:sz w:val="16"/>
          <w:szCs w:val="16"/>
        </w:rPr>
        <w:t xml:space="preserve">Population-based Surveys. </w:t>
      </w:r>
      <w:r>
        <w:rPr>
          <w:rFonts w:ascii="TT15Dt00" w:hAnsi="TT15Dt00" w:cs="TT15Dt00"/>
          <w:color w:val="000000"/>
          <w:sz w:val="16"/>
          <w:szCs w:val="16"/>
        </w:rPr>
        <w:t xml:space="preserve">Available at </w:t>
      </w:r>
      <w:r>
        <w:rPr>
          <w:rFonts w:ascii="TT15Ct00" w:hAnsi="TT15Ct00" w:cs="TT15Ct00"/>
          <w:color w:val="0000FF"/>
          <w:sz w:val="16"/>
          <w:szCs w:val="16"/>
        </w:rPr>
        <w:t>http://williamsinstitute.law.ucla.edu/wp-content/uploads/geniuss-report-sep-2014.pdf</w:t>
      </w:r>
    </w:p>
    <w:p w:rsidR="00B13E40" w:rsidRDefault="00B13E40" w:rsidP="006B6773">
      <w:pPr>
        <w:pStyle w:val="FootnoteText"/>
      </w:pPr>
    </w:p>
  </w:footnote>
  <w:footnote w:id="9">
    <w:p w:rsidR="00B13E40" w:rsidRPr="006B6773" w:rsidRDefault="00B13E40" w:rsidP="006B6773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T15Ct00" w:hAnsi="TT15Ct00" w:cs="TT15Ct00"/>
          <w:color w:val="000000"/>
          <w:sz w:val="16"/>
          <w:szCs w:val="16"/>
        </w:rPr>
        <w:t>Survey administrators ask people their sex assigned at birth followed by their current gender identity. See Williams Inst., Best Practices for</w:t>
      </w:r>
      <w:r>
        <w:rPr>
          <w:rFonts w:ascii="TT15Ct00" w:hAnsi="TT15Ct00" w:cs="TT15Ct00"/>
          <w:color w:val="000000"/>
          <w:sz w:val="16"/>
          <w:szCs w:val="16"/>
        </w:rPr>
        <w:t xml:space="preserve"> </w:t>
      </w:r>
      <w:r>
        <w:rPr>
          <w:rFonts w:ascii="TT15Ct00" w:hAnsi="TT15Ct00" w:cs="TT15Ct00"/>
          <w:color w:val="000000"/>
          <w:sz w:val="16"/>
          <w:szCs w:val="16"/>
        </w:rPr>
        <w:t xml:space="preserve">Asking Questions to Identify Transgender and Other Gender Minorities on Population-based Surveys. </w:t>
      </w:r>
      <w:r>
        <w:rPr>
          <w:rFonts w:ascii="TT15Dt00" w:hAnsi="TT15Dt00" w:cs="TT15Dt00"/>
          <w:color w:val="000000"/>
          <w:sz w:val="16"/>
          <w:szCs w:val="16"/>
        </w:rPr>
        <w:t>Available at</w:t>
      </w:r>
    </w:p>
    <w:p w:rsidR="00B13E40" w:rsidRDefault="00B13E40" w:rsidP="006B6773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FF"/>
          <w:sz w:val="16"/>
          <w:szCs w:val="16"/>
        </w:rPr>
      </w:pPr>
      <w:r>
        <w:rPr>
          <w:rFonts w:ascii="TT15Ct00" w:hAnsi="TT15Ct00" w:cs="TT15Ct00"/>
          <w:color w:val="0000FF"/>
          <w:sz w:val="16"/>
          <w:szCs w:val="16"/>
        </w:rPr>
        <w:t>http://williamsinstitute.law.ucla.edu/wp-content/uploads/geniuss-report-sep-2014.pdf</w:t>
      </w:r>
    </w:p>
    <w:p w:rsidR="00B13E40" w:rsidRDefault="00B13E40" w:rsidP="006B6773">
      <w:pPr>
        <w:pStyle w:val="FootnoteText"/>
      </w:pPr>
    </w:p>
  </w:footnote>
  <w:footnote w:id="10">
    <w:p w:rsidR="00B13E40" w:rsidRPr="006B6773" w:rsidRDefault="00B13E40" w:rsidP="006B6773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T15Ct00" w:hAnsi="TT15Ct00" w:cs="TT15Ct00"/>
          <w:color w:val="000000"/>
          <w:sz w:val="16"/>
          <w:szCs w:val="16"/>
        </w:rPr>
        <w:t xml:space="preserve">Choi SK, Meyer IH: </w:t>
      </w:r>
      <w:r>
        <w:rPr>
          <w:rFonts w:ascii="TT15Dt00" w:hAnsi="TT15Dt00" w:cs="TT15Dt00"/>
          <w:color w:val="000000"/>
          <w:sz w:val="16"/>
          <w:szCs w:val="16"/>
        </w:rPr>
        <w:t>LGBT Aging: A Review of Research Findings, Needs, and Policy Implications</w:t>
      </w:r>
      <w:r>
        <w:rPr>
          <w:rFonts w:ascii="TT15Ct00" w:hAnsi="TT15Ct00" w:cs="TT15Ct00"/>
          <w:color w:val="000000"/>
          <w:sz w:val="16"/>
          <w:szCs w:val="16"/>
        </w:rPr>
        <w:t>. 2016. Los Angeles, CA: The Williams Institute,</w:t>
      </w:r>
      <w:r>
        <w:rPr>
          <w:rFonts w:ascii="TT15Ct00" w:hAnsi="TT15Ct00" w:cs="TT15Ct00"/>
          <w:color w:val="000000"/>
          <w:sz w:val="16"/>
          <w:szCs w:val="16"/>
        </w:rPr>
        <w:t xml:space="preserve"> </w:t>
      </w:r>
      <w:r>
        <w:rPr>
          <w:rFonts w:ascii="TT15Ct00" w:hAnsi="TT15Ct00" w:cs="TT15Ct00"/>
          <w:color w:val="000000"/>
          <w:sz w:val="16"/>
          <w:szCs w:val="16"/>
        </w:rPr>
        <w:t xml:space="preserve">UCLA School of Law. </w:t>
      </w:r>
      <w:r>
        <w:rPr>
          <w:rFonts w:ascii="TT15Dt00" w:hAnsi="TT15Dt00" w:cs="TT15Dt00"/>
          <w:color w:val="000000"/>
          <w:sz w:val="16"/>
          <w:szCs w:val="16"/>
        </w:rPr>
        <w:t xml:space="preserve">Available at </w:t>
      </w:r>
      <w:r>
        <w:rPr>
          <w:rFonts w:ascii="TT15Ct00" w:hAnsi="TT15Ct00" w:cs="TT15Ct00"/>
          <w:color w:val="0000FF"/>
          <w:sz w:val="16"/>
          <w:szCs w:val="16"/>
        </w:rPr>
        <w:t>http://williamsinstitute.law.ucla.edu/wp-content/uploads/LGBT-Aging-A-Review.pdf</w:t>
      </w:r>
    </w:p>
    <w:p w:rsidR="00B13E40" w:rsidRDefault="00B13E40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7B"/>
    <w:rsid w:val="00036220"/>
    <w:rsid w:val="00147732"/>
    <w:rsid w:val="001B7149"/>
    <w:rsid w:val="00261041"/>
    <w:rsid w:val="003E5FDB"/>
    <w:rsid w:val="004C73C7"/>
    <w:rsid w:val="004F0383"/>
    <w:rsid w:val="00617A7E"/>
    <w:rsid w:val="0065287A"/>
    <w:rsid w:val="006A23D0"/>
    <w:rsid w:val="006B6773"/>
    <w:rsid w:val="0072429D"/>
    <w:rsid w:val="008835E8"/>
    <w:rsid w:val="008A7283"/>
    <w:rsid w:val="008D5D7B"/>
    <w:rsid w:val="00A21B41"/>
    <w:rsid w:val="00A946DF"/>
    <w:rsid w:val="00AF24FE"/>
    <w:rsid w:val="00B13E40"/>
    <w:rsid w:val="00B54B0B"/>
    <w:rsid w:val="00CB4411"/>
    <w:rsid w:val="00DE0367"/>
    <w:rsid w:val="00F7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E3889"/>
  <w15:chartTrackingRefBased/>
  <w15:docId w15:val="{B3D1034D-D680-49E9-A843-90F6E0CF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E03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3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03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674">
              <w:marLeft w:val="0"/>
              <w:marRight w:val="0"/>
              <w:marTop w:val="0"/>
              <w:marBottom w:val="375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  <w:div w:id="1085759456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15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262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19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4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873C0-EF5E-4CFB-A365-2DBDB9B8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Tax</dc:creator>
  <cp:keywords/>
  <dc:description/>
  <cp:lastModifiedBy>Aaron Tax</cp:lastModifiedBy>
  <cp:revision>3</cp:revision>
  <dcterms:created xsi:type="dcterms:W3CDTF">2017-11-01T15:59:00Z</dcterms:created>
  <dcterms:modified xsi:type="dcterms:W3CDTF">2017-11-01T15:59:00Z</dcterms:modified>
</cp:coreProperties>
</file>