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B3D" w:rsidRPr="00743B3D" w:rsidRDefault="00743B3D" w:rsidP="00EC635B">
      <w:pPr>
        <w:rPr>
          <w:rFonts w:ascii="Garamond" w:hAnsi="Garamond" w:cs="Tahoma"/>
          <w:b/>
        </w:rPr>
      </w:pPr>
      <w:bookmarkStart w:id="0" w:name="_GoBack"/>
      <w:bookmarkEnd w:id="0"/>
      <w:r w:rsidRPr="00743B3D">
        <w:rPr>
          <w:rFonts w:ascii="Garamond" w:hAnsi="Garamond" w:cs="Tahoma"/>
          <w:b/>
        </w:rPr>
        <w:t>COMPARISON:  PROVISIONS OF PCQCA AND CARE PLANNING ACT</w:t>
      </w:r>
    </w:p>
    <w:tbl>
      <w:tblPr>
        <w:tblStyle w:val="TableGrid"/>
        <w:tblW w:w="0" w:type="auto"/>
        <w:tblLook w:val="04A0" w:firstRow="1" w:lastRow="0" w:firstColumn="1" w:lastColumn="0" w:noHBand="0" w:noVBand="1"/>
      </w:tblPr>
      <w:tblGrid>
        <w:gridCol w:w="3192"/>
        <w:gridCol w:w="3538"/>
        <w:gridCol w:w="3368"/>
      </w:tblGrid>
      <w:tr w:rsidR="00743B3D" w:rsidTr="00412F7E">
        <w:tc>
          <w:tcPr>
            <w:tcW w:w="3192" w:type="dxa"/>
          </w:tcPr>
          <w:p w:rsidR="00743B3D" w:rsidRDefault="00743B3D" w:rsidP="00412F7E"/>
          <w:p w:rsidR="00743B3D" w:rsidRDefault="00743B3D" w:rsidP="00412F7E"/>
        </w:tc>
        <w:tc>
          <w:tcPr>
            <w:tcW w:w="3192" w:type="dxa"/>
          </w:tcPr>
          <w:p w:rsidR="00743B3D" w:rsidRDefault="00743B3D" w:rsidP="00412F7E">
            <w:pPr>
              <w:rPr>
                <w:rFonts w:ascii="Garamond" w:hAnsi="Garamond"/>
                <w:b/>
              </w:rPr>
            </w:pPr>
            <w:r w:rsidRPr="00C36A69">
              <w:rPr>
                <w:rFonts w:ascii="Garamond" w:hAnsi="Garamond"/>
                <w:b/>
              </w:rPr>
              <w:t>Patient Choice and Quality Care Act of 2017</w:t>
            </w:r>
            <w:r>
              <w:rPr>
                <w:rFonts w:ascii="Garamond" w:hAnsi="Garamond"/>
                <w:b/>
              </w:rPr>
              <w:t xml:space="preserve"> (PCQCA)</w:t>
            </w:r>
            <w:r w:rsidRPr="00C36A69">
              <w:rPr>
                <w:rFonts w:ascii="Garamond" w:hAnsi="Garamond"/>
                <w:b/>
              </w:rPr>
              <w:t xml:space="preserve"> </w:t>
            </w:r>
          </w:p>
          <w:p w:rsidR="00743B3D" w:rsidRPr="00C36A69" w:rsidRDefault="00743B3D" w:rsidP="00412F7E">
            <w:pPr>
              <w:rPr>
                <w:rFonts w:ascii="Garamond" w:hAnsi="Garamond"/>
                <w:b/>
              </w:rPr>
            </w:pPr>
            <w:r w:rsidRPr="00C36A69">
              <w:rPr>
                <w:rFonts w:ascii="Garamond" w:hAnsi="Garamond"/>
                <w:b/>
              </w:rPr>
              <w:t>(H.R. 2797/S. 1334)</w:t>
            </w:r>
          </w:p>
        </w:tc>
        <w:tc>
          <w:tcPr>
            <w:tcW w:w="3192" w:type="dxa"/>
          </w:tcPr>
          <w:p w:rsidR="00743B3D" w:rsidRDefault="00743B3D" w:rsidP="00412F7E">
            <w:pPr>
              <w:rPr>
                <w:rFonts w:ascii="Garamond" w:hAnsi="Garamond"/>
                <w:b/>
              </w:rPr>
            </w:pPr>
            <w:r w:rsidRPr="00C36A69">
              <w:rPr>
                <w:rFonts w:ascii="Garamond" w:hAnsi="Garamond"/>
                <w:b/>
              </w:rPr>
              <w:t xml:space="preserve">Care Planning Act of 2015 </w:t>
            </w:r>
          </w:p>
          <w:p w:rsidR="00743B3D" w:rsidRPr="00C36A69" w:rsidRDefault="00743B3D" w:rsidP="00412F7E">
            <w:pPr>
              <w:rPr>
                <w:rFonts w:ascii="Garamond" w:hAnsi="Garamond"/>
                <w:b/>
              </w:rPr>
            </w:pPr>
            <w:r w:rsidRPr="00C36A69">
              <w:rPr>
                <w:rFonts w:ascii="Garamond" w:hAnsi="Garamond"/>
                <w:b/>
              </w:rPr>
              <w:t>(S. 1549)</w:t>
            </w:r>
          </w:p>
        </w:tc>
      </w:tr>
      <w:tr w:rsidR="00743B3D" w:rsidRPr="00A51FB7" w:rsidTr="00412F7E">
        <w:tc>
          <w:tcPr>
            <w:tcW w:w="3192" w:type="dxa"/>
          </w:tcPr>
          <w:p w:rsidR="00743B3D" w:rsidRPr="00C36A69" w:rsidRDefault="00743B3D" w:rsidP="00412F7E">
            <w:pPr>
              <w:rPr>
                <w:rFonts w:ascii="Garamond" w:hAnsi="Garamond"/>
                <w:b/>
                <w:sz w:val="20"/>
                <w:szCs w:val="20"/>
              </w:rPr>
            </w:pPr>
            <w:r w:rsidRPr="00C36A69">
              <w:rPr>
                <w:rFonts w:ascii="Garamond" w:hAnsi="Garamond"/>
                <w:b/>
                <w:sz w:val="20"/>
                <w:szCs w:val="20"/>
              </w:rPr>
              <w:t>Advanced Illness Planning and Coordination</w:t>
            </w:r>
            <w:r>
              <w:rPr>
                <w:rFonts w:ascii="Garamond" w:hAnsi="Garamond"/>
                <w:b/>
                <w:sz w:val="20"/>
                <w:szCs w:val="20"/>
              </w:rPr>
              <w:t xml:space="preserve"> Services</w:t>
            </w:r>
          </w:p>
        </w:tc>
        <w:tc>
          <w:tcPr>
            <w:tcW w:w="3192" w:type="dxa"/>
          </w:tcPr>
          <w:p w:rsidR="00743B3D" w:rsidRPr="00A51FB7" w:rsidRDefault="00743B3D" w:rsidP="00412F7E">
            <w:pPr>
              <w:autoSpaceDE w:val="0"/>
              <w:autoSpaceDN w:val="0"/>
              <w:adjustRightInd w:val="0"/>
              <w:rPr>
                <w:rFonts w:ascii="Garamond" w:hAnsi="Garamond" w:cs="Garamond-Bold"/>
                <w:b/>
                <w:bCs/>
                <w:sz w:val="20"/>
                <w:szCs w:val="20"/>
              </w:rPr>
            </w:pPr>
            <w:r w:rsidRPr="00A51FB7">
              <w:rPr>
                <w:rFonts w:ascii="Garamond" w:hAnsi="Garamond" w:cs="Garamond-Bold"/>
                <w:b/>
                <w:bCs/>
                <w:sz w:val="20"/>
                <w:szCs w:val="20"/>
              </w:rPr>
              <w:t>Advanced Illness Care and Management Model. (Section 3)</w:t>
            </w:r>
          </w:p>
          <w:p w:rsidR="00743B3D" w:rsidRPr="00A51FB7" w:rsidRDefault="00743B3D" w:rsidP="00412F7E">
            <w:pPr>
              <w:autoSpaceDE w:val="0"/>
              <w:autoSpaceDN w:val="0"/>
              <w:adjustRightInd w:val="0"/>
              <w:rPr>
                <w:rFonts w:ascii="Garamond" w:hAnsi="Garamond" w:cs="Garamond"/>
                <w:sz w:val="20"/>
                <w:szCs w:val="20"/>
              </w:rPr>
            </w:pPr>
            <w:r w:rsidRPr="00A51FB7">
              <w:rPr>
                <w:rFonts w:ascii="Garamond" w:hAnsi="Garamond" w:cs="Garamond-Italic"/>
                <w:i/>
                <w:iCs/>
                <w:sz w:val="20"/>
                <w:szCs w:val="20"/>
              </w:rPr>
              <w:t>Creates a new Medicare model for Advanced Illness Care and Management</w:t>
            </w:r>
            <w:r w:rsidRPr="00A51FB7">
              <w:rPr>
                <w:rFonts w:ascii="Garamond" w:hAnsi="Garamond" w:cs="Garamond"/>
                <w:sz w:val="20"/>
                <w:szCs w:val="20"/>
              </w:rPr>
              <w:t>: This section directs CMS to create and test a new model—</w:t>
            </w:r>
            <w:r>
              <w:rPr>
                <w:rFonts w:ascii="Garamond" w:hAnsi="Garamond" w:cs="Garamond"/>
                <w:sz w:val="20"/>
                <w:szCs w:val="20"/>
              </w:rPr>
              <w:t xml:space="preserve"> </w:t>
            </w:r>
            <w:r w:rsidRPr="00A51FB7">
              <w:rPr>
                <w:rFonts w:ascii="Garamond" w:hAnsi="Garamond" w:cs="Garamond"/>
                <w:sz w:val="20"/>
                <w:szCs w:val="20"/>
              </w:rPr>
              <w:t>offered both independently and in conjunction with other models—that would enable eligible individuals to voluntarily engage</w:t>
            </w:r>
            <w:r>
              <w:rPr>
                <w:rFonts w:ascii="Garamond" w:hAnsi="Garamond" w:cs="Garamond"/>
                <w:sz w:val="20"/>
                <w:szCs w:val="20"/>
              </w:rPr>
              <w:t xml:space="preserve"> </w:t>
            </w:r>
            <w:r w:rsidRPr="00A51FB7">
              <w:rPr>
                <w:rFonts w:ascii="Garamond" w:hAnsi="Garamond" w:cs="Garamond"/>
                <w:sz w:val="20"/>
                <w:szCs w:val="20"/>
              </w:rPr>
              <w:t>in a team-based planning process designed to align the care a patient receives with his or her goals of care, values, and</w:t>
            </w:r>
            <w:r>
              <w:rPr>
                <w:rFonts w:ascii="Garamond" w:hAnsi="Garamond" w:cs="Garamond"/>
                <w:sz w:val="20"/>
                <w:szCs w:val="20"/>
              </w:rPr>
              <w:t xml:space="preserve"> </w:t>
            </w:r>
            <w:r w:rsidRPr="00A51FB7">
              <w:rPr>
                <w:rFonts w:ascii="Garamond" w:hAnsi="Garamond" w:cs="Garamond"/>
                <w:sz w:val="20"/>
                <w:szCs w:val="20"/>
              </w:rPr>
              <w:t>preferences. Members of an interdisciplinary team would work together to meet the physical, medical, psychosocial, emotional,</w:t>
            </w:r>
            <w:r>
              <w:rPr>
                <w:rFonts w:ascii="Garamond" w:hAnsi="Garamond" w:cs="Garamond"/>
                <w:sz w:val="20"/>
                <w:szCs w:val="20"/>
              </w:rPr>
              <w:t xml:space="preserve"> </w:t>
            </w:r>
            <w:r w:rsidRPr="00A51FB7">
              <w:rPr>
                <w:rFonts w:ascii="Garamond" w:hAnsi="Garamond" w:cs="Garamond"/>
                <w:sz w:val="20"/>
                <w:szCs w:val="20"/>
              </w:rPr>
              <w:t>and spiritual needs of the patient and caregivers by providing important information and services, including:</w:t>
            </w:r>
          </w:p>
          <w:p w:rsidR="00743B3D" w:rsidRPr="00A51FB7" w:rsidRDefault="00743B3D" w:rsidP="00743B3D">
            <w:pPr>
              <w:pStyle w:val="ListParagraph"/>
              <w:numPr>
                <w:ilvl w:val="0"/>
                <w:numId w:val="3"/>
              </w:numPr>
              <w:autoSpaceDE w:val="0"/>
              <w:autoSpaceDN w:val="0"/>
              <w:adjustRightInd w:val="0"/>
              <w:spacing w:after="0" w:line="240" w:lineRule="auto"/>
              <w:rPr>
                <w:rFonts w:ascii="Garamond" w:hAnsi="Garamond" w:cs="Garamond"/>
                <w:sz w:val="20"/>
                <w:szCs w:val="20"/>
              </w:rPr>
            </w:pPr>
            <w:r w:rsidRPr="00A51FB7">
              <w:rPr>
                <w:rFonts w:ascii="Garamond" w:hAnsi="Garamond" w:cs="Garamond"/>
                <w:sz w:val="20"/>
                <w:szCs w:val="20"/>
              </w:rPr>
              <w:t>Assisting the patient in defining and articulating goals of care, values, and preferences;</w:t>
            </w:r>
          </w:p>
          <w:p w:rsidR="00743B3D" w:rsidRPr="00A51FB7" w:rsidRDefault="00743B3D" w:rsidP="00743B3D">
            <w:pPr>
              <w:pStyle w:val="ListParagraph"/>
              <w:numPr>
                <w:ilvl w:val="0"/>
                <w:numId w:val="3"/>
              </w:numPr>
              <w:autoSpaceDE w:val="0"/>
              <w:autoSpaceDN w:val="0"/>
              <w:adjustRightInd w:val="0"/>
              <w:spacing w:after="0" w:line="240" w:lineRule="auto"/>
              <w:rPr>
                <w:rFonts w:ascii="Garamond" w:hAnsi="Garamond" w:cs="Garamond"/>
                <w:sz w:val="20"/>
                <w:szCs w:val="20"/>
              </w:rPr>
            </w:pPr>
            <w:r w:rsidRPr="00A51FB7">
              <w:rPr>
                <w:rFonts w:ascii="Garamond" w:hAnsi="Garamond" w:cs="Garamond"/>
                <w:sz w:val="20"/>
                <w:szCs w:val="20"/>
              </w:rPr>
              <w:t>Providing information about disease trajectory;</w:t>
            </w:r>
          </w:p>
          <w:p w:rsidR="00743B3D" w:rsidRPr="00A51FB7" w:rsidRDefault="00743B3D" w:rsidP="00743B3D">
            <w:pPr>
              <w:pStyle w:val="ListParagraph"/>
              <w:numPr>
                <w:ilvl w:val="0"/>
                <w:numId w:val="3"/>
              </w:numPr>
              <w:autoSpaceDE w:val="0"/>
              <w:autoSpaceDN w:val="0"/>
              <w:adjustRightInd w:val="0"/>
              <w:spacing w:after="0" w:line="240" w:lineRule="auto"/>
              <w:rPr>
                <w:rFonts w:ascii="Garamond" w:hAnsi="Garamond" w:cs="Garamond"/>
                <w:sz w:val="20"/>
                <w:szCs w:val="20"/>
              </w:rPr>
            </w:pPr>
            <w:r w:rsidRPr="00A51FB7">
              <w:rPr>
                <w:rFonts w:ascii="Garamond" w:hAnsi="Garamond" w:cs="Garamond"/>
                <w:sz w:val="20"/>
                <w:szCs w:val="20"/>
              </w:rPr>
              <w:t>Discussing and evaluating how a range of treatment options align with patient goals;</w:t>
            </w:r>
          </w:p>
          <w:p w:rsidR="00743B3D" w:rsidRPr="00C36A69" w:rsidRDefault="00743B3D" w:rsidP="00743B3D">
            <w:pPr>
              <w:pStyle w:val="ListParagraph"/>
              <w:numPr>
                <w:ilvl w:val="0"/>
                <w:numId w:val="3"/>
              </w:numPr>
              <w:autoSpaceDE w:val="0"/>
              <w:autoSpaceDN w:val="0"/>
              <w:adjustRightInd w:val="0"/>
              <w:spacing w:after="0" w:line="240" w:lineRule="auto"/>
              <w:rPr>
                <w:rFonts w:ascii="Garamond" w:hAnsi="Garamond" w:cs="Garamond"/>
                <w:sz w:val="20"/>
                <w:szCs w:val="20"/>
              </w:rPr>
            </w:pPr>
            <w:r w:rsidRPr="00C36A69">
              <w:rPr>
                <w:rFonts w:ascii="Garamond" w:hAnsi="Garamond" w:cs="Garamond"/>
                <w:sz w:val="20"/>
                <w:szCs w:val="20"/>
              </w:rPr>
              <w:t>Preparing and sharing recognized documentation stating the patient’s goals of care, preferences, and values, preferred decision-making strategies, and plan of care;</w:t>
            </w:r>
          </w:p>
          <w:p w:rsidR="00743B3D" w:rsidRPr="00A51FB7" w:rsidRDefault="00743B3D" w:rsidP="00743B3D">
            <w:pPr>
              <w:pStyle w:val="ListParagraph"/>
              <w:numPr>
                <w:ilvl w:val="0"/>
                <w:numId w:val="3"/>
              </w:numPr>
              <w:autoSpaceDE w:val="0"/>
              <w:autoSpaceDN w:val="0"/>
              <w:adjustRightInd w:val="0"/>
              <w:spacing w:after="0" w:line="240" w:lineRule="auto"/>
              <w:rPr>
                <w:rFonts w:ascii="Garamond" w:hAnsi="Garamond" w:cs="Garamond"/>
                <w:sz w:val="20"/>
                <w:szCs w:val="20"/>
              </w:rPr>
            </w:pPr>
            <w:r w:rsidRPr="00A51FB7">
              <w:rPr>
                <w:rFonts w:ascii="Garamond" w:hAnsi="Garamond" w:cs="Garamond"/>
                <w:sz w:val="20"/>
                <w:szCs w:val="20"/>
              </w:rPr>
              <w:t>Referrals to medical or social service providers for care consistent with the plan;</w:t>
            </w:r>
          </w:p>
          <w:p w:rsidR="00743B3D" w:rsidRPr="00A51FB7" w:rsidRDefault="00743B3D" w:rsidP="00743B3D">
            <w:pPr>
              <w:pStyle w:val="ListParagraph"/>
              <w:numPr>
                <w:ilvl w:val="0"/>
                <w:numId w:val="3"/>
              </w:numPr>
              <w:autoSpaceDE w:val="0"/>
              <w:autoSpaceDN w:val="0"/>
              <w:adjustRightInd w:val="0"/>
              <w:spacing w:after="0" w:line="240" w:lineRule="auto"/>
              <w:rPr>
                <w:rFonts w:ascii="Garamond" w:hAnsi="Garamond" w:cs="Garamond"/>
                <w:sz w:val="20"/>
                <w:szCs w:val="20"/>
              </w:rPr>
            </w:pPr>
            <w:r w:rsidRPr="00A51FB7">
              <w:rPr>
                <w:rFonts w:ascii="Garamond" w:hAnsi="Garamond" w:cs="Garamond"/>
                <w:sz w:val="20"/>
                <w:szCs w:val="20"/>
              </w:rPr>
              <w:t>Providing training to the patient and caregivers to enable them to implement the plan;</w:t>
            </w:r>
          </w:p>
          <w:p w:rsidR="00743B3D" w:rsidRPr="00A51FB7" w:rsidRDefault="00743B3D" w:rsidP="00743B3D">
            <w:pPr>
              <w:pStyle w:val="ListParagraph"/>
              <w:numPr>
                <w:ilvl w:val="0"/>
                <w:numId w:val="3"/>
              </w:numPr>
              <w:autoSpaceDE w:val="0"/>
              <w:autoSpaceDN w:val="0"/>
              <w:adjustRightInd w:val="0"/>
              <w:spacing w:after="0" w:line="240" w:lineRule="auto"/>
              <w:rPr>
                <w:rFonts w:ascii="Garamond" w:hAnsi="Garamond" w:cs="Garamond"/>
                <w:sz w:val="20"/>
                <w:szCs w:val="20"/>
              </w:rPr>
            </w:pPr>
            <w:r w:rsidRPr="00A51FB7">
              <w:rPr>
                <w:rFonts w:ascii="Garamond" w:hAnsi="Garamond" w:cs="Garamond"/>
                <w:sz w:val="20"/>
                <w:szCs w:val="20"/>
              </w:rPr>
              <w:t>Providing site visits and additional services consistent with the care plan, to assist the patient and caregivers in</w:t>
            </w:r>
          </w:p>
          <w:p w:rsidR="00743B3D" w:rsidRPr="00A51FB7" w:rsidRDefault="00743B3D" w:rsidP="00412F7E">
            <w:pPr>
              <w:pStyle w:val="ListParagraph"/>
              <w:autoSpaceDE w:val="0"/>
              <w:autoSpaceDN w:val="0"/>
              <w:adjustRightInd w:val="0"/>
              <w:rPr>
                <w:rFonts w:ascii="Garamond" w:hAnsi="Garamond" w:cs="Garamond"/>
                <w:sz w:val="20"/>
                <w:szCs w:val="20"/>
              </w:rPr>
            </w:pPr>
            <w:r w:rsidRPr="00A51FB7">
              <w:rPr>
                <w:rFonts w:ascii="Garamond" w:hAnsi="Garamond" w:cs="Garamond"/>
                <w:sz w:val="20"/>
                <w:szCs w:val="20"/>
              </w:rPr>
              <w:t xml:space="preserve">management of the </w:t>
            </w:r>
            <w:r>
              <w:rPr>
                <w:rFonts w:ascii="Garamond" w:hAnsi="Garamond" w:cs="Garamond"/>
                <w:sz w:val="20"/>
                <w:szCs w:val="20"/>
              </w:rPr>
              <w:t>c</w:t>
            </w:r>
            <w:r w:rsidRPr="00A51FB7">
              <w:rPr>
                <w:rFonts w:ascii="Garamond" w:hAnsi="Garamond" w:cs="Garamond"/>
                <w:sz w:val="20"/>
                <w:szCs w:val="20"/>
              </w:rPr>
              <w:t>ondition; and</w:t>
            </w:r>
          </w:p>
          <w:p w:rsidR="00743B3D" w:rsidRPr="00743B3D" w:rsidRDefault="00743B3D" w:rsidP="00412F7E">
            <w:pPr>
              <w:pStyle w:val="ListParagraph"/>
              <w:numPr>
                <w:ilvl w:val="0"/>
                <w:numId w:val="3"/>
              </w:numPr>
              <w:autoSpaceDE w:val="0"/>
              <w:autoSpaceDN w:val="0"/>
              <w:adjustRightInd w:val="0"/>
              <w:spacing w:after="0" w:line="240" w:lineRule="auto"/>
              <w:rPr>
                <w:rFonts w:ascii="Garamond" w:hAnsi="Garamond" w:cs="Garamond"/>
                <w:sz w:val="20"/>
                <w:szCs w:val="20"/>
              </w:rPr>
            </w:pPr>
            <w:r w:rsidRPr="00743B3D">
              <w:rPr>
                <w:rFonts w:ascii="Garamond" w:hAnsi="Garamond" w:cs="Garamond"/>
                <w:sz w:val="20"/>
                <w:szCs w:val="20"/>
              </w:rPr>
              <w:t xml:space="preserve">Facilitating care coordination and communication across health care and social service settings and providers, including 24-hour emergency support, while continuing to evaluate involvement of the team over </w:t>
            </w:r>
            <w:r w:rsidRPr="00743B3D">
              <w:rPr>
                <w:rFonts w:ascii="Garamond" w:hAnsi="Garamond" w:cs="Garamond"/>
                <w:sz w:val="20"/>
                <w:szCs w:val="20"/>
              </w:rPr>
              <w:lastRenderedPageBreak/>
              <w:t>time.</w:t>
            </w:r>
          </w:p>
          <w:p w:rsidR="00743B3D" w:rsidRPr="00A51FB7" w:rsidRDefault="00743B3D" w:rsidP="00743B3D">
            <w:pPr>
              <w:autoSpaceDE w:val="0"/>
              <w:autoSpaceDN w:val="0"/>
              <w:adjustRightInd w:val="0"/>
              <w:rPr>
                <w:rFonts w:ascii="Garamond" w:hAnsi="Garamond" w:cs="Garamond"/>
                <w:sz w:val="20"/>
                <w:szCs w:val="20"/>
              </w:rPr>
            </w:pPr>
            <w:r>
              <w:rPr>
                <w:rFonts w:ascii="Garamond" w:hAnsi="Garamond" w:cs="Garamond"/>
                <w:sz w:val="20"/>
                <w:szCs w:val="20"/>
              </w:rPr>
              <w:t>Services will be reimbursed according to a payment model established by the Secretary.</w:t>
            </w:r>
          </w:p>
        </w:tc>
        <w:tc>
          <w:tcPr>
            <w:tcW w:w="3192" w:type="dxa"/>
          </w:tcPr>
          <w:p w:rsidR="00743B3D" w:rsidRPr="00743B3D" w:rsidRDefault="00743B3D" w:rsidP="00412F7E">
            <w:pPr>
              <w:pStyle w:val="Default"/>
              <w:rPr>
                <w:rFonts w:ascii="Garamond" w:hAnsi="Garamond"/>
                <w:sz w:val="20"/>
                <w:szCs w:val="20"/>
              </w:rPr>
            </w:pPr>
            <w:r w:rsidRPr="00743B3D">
              <w:rPr>
                <w:rFonts w:ascii="Garamond" w:hAnsi="Garamond"/>
                <w:b/>
                <w:bCs/>
                <w:sz w:val="20"/>
                <w:szCs w:val="20"/>
              </w:rPr>
              <w:lastRenderedPageBreak/>
              <w:t>Improvement of advanced illness planning and coordination. (Section 3)</w:t>
            </w:r>
          </w:p>
          <w:p w:rsidR="00743B3D" w:rsidRPr="00743B3D" w:rsidRDefault="00743B3D" w:rsidP="00412F7E">
            <w:pPr>
              <w:pStyle w:val="Default"/>
              <w:rPr>
                <w:rFonts w:ascii="Garamond" w:hAnsi="Garamond"/>
                <w:sz w:val="20"/>
                <w:szCs w:val="20"/>
              </w:rPr>
            </w:pPr>
            <w:r w:rsidRPr="00743B3D">
              <w:rPr>
                <w:rFonts w:ascii="Garamond" w:hAnsi="Garamond"/>
                <w:i/>
                <w:iCs/>
                <w:sz w:val="20"/>
                <w:szCs w:val="20"/>
              </w:rPr>
              <w:t>Creates a Medicare benefit, Planning Services</w:t>
            </w:r>
            <w:r w:rsidRPr="00743B3D">
              <w:rPr>
                <w:rFonts w:ascii="Garamond" w:hAnsi="Garamond"/>
                <w:sz w:val="20"/>
                <w:szCs w:val="20"/>
              </w:rPr>
              <w:t xml:space="preserve">: Eligible individuals with serious or life-threatening illness may elect to engage in a team-based planning process designed to align the care a patient receives with his or her goals of care, values, and preferences. Members of the interdisciplinary team would work together to meet the physical, medical, psychosocial, emotional, and spiritual needs of the patient and caregivers by providing important information, including: </w:t>
            </w:r>
          </w:p>
          <w:p w:rsidR="00743B3D" w:rsidRPr="00743B3D" w:rsidRDefault="00743B3D" w:rsidP="00743B3D">
            <w:pPr>
              <w:pStyle w:val="Default"/>
              <w:numPr>
                <w:ilvl w:val="0"/>
                <w:numId w:val="4"/>
              </w:numPr>
              <w:spacing w:after="37"/>
              <w:rPr>
                <w:rFonts w:ascii="Garamond" w:hAnsi="Garamond"/>
                <w:sz w:val="20"/>
                <w:szCs w:val="20"/>
              </w:rPr>
            </w:pPr>
            <w:r w:rsidRPr="00743B3D">
              <w:rPr>
                <w:rFonts w:ascii="Garamond" w:hAnsi="Garamond"/>
                <w:sz w:val="20"/>
                <w:szCs w:val="20"/>
              </w:rPr>
              <w:t xml:space="preserve">Assisting the patient in defining and articulating goals of care, values, and preferences; </w:t>
            </w:r>
          </w:p>
          <w:p w:rsidR="00743B3D" w:rsidRPr="00743B3D" w:rsidRDefault="00743B3D" w:rsidP="00743B3D">
            <w:pPr>
              <w:pStyle w:val="Default"/>
              <w:numPr>
                <w:ilvl w:val="0"/>
                <w:numId w:val="4"/>
              </w:numPr>
              <w:spacing w:after="37"/>
              <w:rPr>
                <w:rFonts w:ascii="Garamond" w:hAnsi="Garamond"/>
                <w:sz w:val="20"/>
                <w:szCs w:val="20"/>
              </w:rPr>
            </w:pPr>
            <w:r w:rsidRPr="00743B3D">
              <w:rPr>
                <w:rFonts w:ascii="Garamond" w:hAnsi="Garamond"/>
                <w:sz w:val="20"/>
                <w:szCs w:val="20"/>
              </w:rPr>
              <w:t xml:space="preserve">Providing information about disease trajectory; </w:t>
            </w:r>
          </w:p>
          <w:p w:rsidR="00743B3D" w:rsidRPr="00743B3D" w:rsidRDefault="00743B3D" w:rsidP="00743B3D">
            <w:pPr>
              <w:pStyle w:val="Default"/>
              <w:numPr>
                <w:ilvl w:val="0"/>
                <w:numId w:val="4"/>
              </w:numPr>
              <w:spacing w:after="37"/>
              <w:rPr>
                <w:rFonts w:ascii="Garamond" w:hAnsi="Garamond"/>
                <w:sz w:val="20"/>
                <w:szCs w:val="20"/>
              </w:rPr>
            </w:pPr>
            <w:r w:rsidRPr="00743B3D">
              <w:rPr>
                <w:rFonts w:ascii="Garamond" w:hAnsi="Garamond"/>
                <w:sz w:val="20"/>
                <w:szCs w:val="20"/>
              </w:rPr>
              <w:t xml:space="preserve">Discussing and evaluating how a range of treatment options align with patient goals; </w:t>
            </w:r>
          </w:p>
          <w:p w:rsidR="00743B3D" w:rsidRPr="00743B3D" w:rsidRDefault="00743B3D" w:rsidP="00743B3D">
            <w:pPr>
              <w:pStyle w:val="Default"/>
              <w:numPr>
                <w:ilvl w:val="0"/>
                <w:numId w:val="4"/>
              </w:numPr>
              <w:spacing w:after="37"/>
              <w:rPr>
                <w:rFonts w:ascii="Garamond" w:hAnsi="Garamond"/>
                <w:sz w:val="20"/>
                <w:szCs w:val="20"/>
              </w:rPr>
            </w:pPr>
            <w:r w:rsidRPr="00743B3D">
              <w:rPr>
                <w:rFonts w:ascii="Garamond" w:hAnsi="Garamond"/>
                <w:sz w:val="20"/>
                <w:szCs w:val="20"/>
              </w:rPr>
              <w:t xml:space="preserve">Preparing and sharing recognized documentation stating the patient’s goals of care, preferences, and values, preferred decision-making strategies, and plan of care; </w:t>
            </w:r>
          </w:p>
          <w:p w:rsidR="00743B3D" w:rsidRPr="00743B3D" w:rsidRDefault="00743B3D" w:rsidP="00743B3D">
            <w:pPr>
              <w:pStyle w:val="Default"/>
              <w:numPr>
                <w:ilvl w:val="0"/>
                <w:numId w:val="4"/>
              </w:numPr>
              <w:spacing w:after="37"/>
              <w:rPr>
                <w:rFonts w:ascii="Garamond" w:hAnsi="Garamond"/>
                <w:sz w:val="20"/>
                <w:szCs w:val="20"/>
              </w:rPr>
            </w:pPr>
            <w:r w:rsidRPr="00743B3D">
              <w:rPr>
                <w:rFonts w:ascii="Garamond" w:hAnsi="Garamond"/>
                <w:sz w:val="20"/>
                <w:szCs w:val="20"/>
              </w:rPr>
              <w:t xml:space="preserve">Referrals to medical or social service providers for care consistent with the plan; and </w:t>
            </w:r>
          </w:p>
          <w:p w:rsidR="00743B3D" w:rsidRPr="00743B3D" w:rsidRDefault="00743B3D" w:rsidP="00743B3D">
            <w:pPr>
              <w:pStyle w:val="Default"/>
              <w:numPr>
                <w:ilvl w:val="0"/>
                <w:numId w:val="4"/>
              </w:numPr>
              <w:rPr>
                <w:rFonts w:ascii="Garamond" w:hAnsi="Garamond"/>
                <w:sz w:val="20"/>
                <w:szCs w:val="20"/>
              </w:rPr>
            </w:pPr>
            <w:r w:rsidRPr="00743B3D">
              <w:rPr>
                <w:rFonts w:ascii="Garamond" w:hAnsi="Garamond"/>
                <w:sz w:val="20"/>
                <w:szCs w:val="20"/>
              </w:rPr>
              <w:t xml:space="preserve">Providing training to the patient and caregivers to enable them to implement the plan. </w:t>
            </w:r>
          </w:p>
          <w:p w:rsidR="00743B3D" w:rsidRPr="00743B3D" w:rsidRDefault="00743B3D" w:rsidP="00412F7E">
            <w:pPr>
              <w:pStyle w:val="Default"/>
              <w:rPr>
                <w:rFonts w:ascii="Garamond" w:hAnsi="Garamond"/>
                <w:sz w:val="20"/>
                <w:szCs w:val="20"/>
              </w:rPr>
            </w:pPr>
          </w:p>
          <w:p w:rsidR="00743B3D" w:rsidRPr="00743B3D" w:rsidRDefault="00743B3D" w:rsidP="00412F7E">
            <w:pPr>
              <w:rPr>
                <w:rFonts w:ascii="Garamond" w:hAnsi="Garamond"/>
                <w:sz w:val="20"/>
                <w:szCs w:val="20"/>
              </w:rPr>
            </w:pPr>
            <w:r w:rsidRPr="00743B3D">
              <w:rPr>
                <w:rFonts w:ascii="Garamond" w:hAnsi="Garamond"/>
                <w:sz w:val="20"/>
                <w:szCs w:val="20"/>
              </w:rPr>
              <w:t>Planning services will be reimbursed by Medicare Part B under the physician fee schedule. Eligible individuals may receive the benefit no more than once a year, with exceptions to this frequency limitation established by the Secretary.</w:t>
            </w:r>
          </w:p>
          <w:p w:rsidR="00743B3D" w:rsidRPr="00743B3D" w:rsidRDefault="00743B3D" w:rsidP="00412F7E">
            <w:pPr>
              <w:pStyle w:val="Default"/>
              <w:rPr>
                <w:rFonts w:ascii="Garamond" w:hAnsi="Garamond"/>
                <w:sz w:val="20"/>
                <w:szCs w:val="20"/>
              </w:rPr>
            </w:pPr>
          </w:p>
          <w:p w:rsidR="00743B3D" w:rsidRPr="00743B3D" w:rsidRDefault="00743B3D" w:rsidP="00412F7E">
            <w:pPr>
              <w:rPr>
                <w:rFonts w:ascii="Garamond" w:hAnsi="Garamond"/>
                <w:sz w:val="20"/>
                <w:szCs w:val="20"/>
              </w:rPr>
            </w:pPr>
            <w:r w:rsidRPr="00743B3D">
              <w:rPr>
                <w:rFonts w:ascii="Garamond" w:hAnsi="Garamond"/>
                <w:sz w:val="20"/>
                <w:szCs w:val="20"/>
              </w:rPr>
              <w:t xml:space="preserve"> </w:t>
            </w:r>
            <w:r w:rsidRPr="00743B3D">
              <w:rPr>
                <w:rFonts w:ascii="Garamond" w:hAnsi="Garamond"/>
                <w:i/>
                <w:iCs/>
                <w:sz w:val="20"/>
                <w:szCs w:val="20"/>
              </w:rPr>
              <w:t>Requires CMMI to conduct an Advanced Illness Coordination Services (AICS) Project</w:t>
            </w:r>
            <w:r w:rsidRPr="00743B3D">
              <w:rPr>
                <w:rFonts w:ascii="Garamond" w:hAnsi="Garamond"/>
                <w:sz w:val="20"/>
                <w:szCs w:val="20"/>
              </w:rPr>
              <w:t xml:space="preserve">: CMMI will conduct a five-year demonstration program offering AICS to individuals needing assistance in two </w:t>
            </w:r>
            <w:r w:rsidRPr="00743B3D">
              <w:rPr>
                <w:rFonts w:ascii="Garamond" w:hAnsi="Garamond"/>
                <w:sz w:val="20"/>
                <w:szCs w:val="20"/>
              </w:rPr>
              <w:lastRenderedPageBreak/>
              <w:t>or more progressive disease-related activities of daily living (ADLs).</w:t>
            </w:r>
          </w:p>
        </w:tc>
      </w:tr>
      <w:tr w:rsidR="00743B3D" w:rsidRPr="00A51FB7" w:rsidTr="00412F7E">
        <w:tc>
          <w:tcPr>
            <w:tcW w:w="3192" w:type="dxa"/>
          </w:tcPr>
          <w:p w:rsidR="00743B3D" w:rsidRPr="00C36A69" w:rsidRDefault="00743B3D" w:rsidP="00743B3D">
            <w:pPr>
              <w:rPr>
                <w:rFonts w:ascii="Garamond" w:hAnsi="Garamond"/>
                <w:b/>
                <w:sz w:val="20"/>
                <w:szCs w:val="20"/>
              </w:rPr>
            </w:pPr>
            <w:r w:rsidRPr="00C36A69">
              <w:rPr>
                <w:rFonts w:ascii="Garamond" w:hAnsi="Garamond"/>
                <w:b/>
                <w:sz w:val="20"/>
                <w:szCs w:val="20"/>
              </w:rPr>
              <w:lastRenderedPageBreak/>
              <w:t>Quality Measurement Development/Implementation</w:t>
            </w:r>
          </w:p>
        </w:tc>
        <w:tc>
          <w:tcPr>
            <w:tcW w:w="3192" w:type="dxa"/>
          </w:tcPr>
          <w:p w:rsidR="00743B3D" w:rsidRPr="00A51FB7" w:rsidRDefault="00743B3D" w:rsidP="00412F7E">
            <w:pPr>
              <w:autoSpaceDE w:val="0"/>
              <w:autoSpaceDN w:val="0"/>
              <w:adjustRightInd w:val="0"/>
              <w:rPr>
                <w:rFonts w:ascii="Garamond" w:hAnsi="Garamond" w:cs="Garamond-Bold"/>
                <w:b/>
                <w:bCs/>
                <w:sz w:val="20"/>
                <w:szCs w:val="20"/>
              </w:rPr>
            </w:pPr>
            <w:r w:rsidRPr="00A51FB7">
              <w:rPr>
                <w:rFonts w:ascii="Garamond" w:hAnsi="Garamond" w:cs="Garamond-Bold"/>
                <w:b/>
                <w:bCs/>
                <w:sz w:val="20"/>
                <w:szCs w:val="20"/>
              </w:rPr>
              <w:t>Quality Measurement Development and Implementation</w:t>
            </w:r>
            <w:r>
              <w:rPr>
                <w:rFonts w:ascii="Garamond" w:hAnsi="Garamond" w:cs="Garamond-Bold"/>
                <w:b/>
                <w:bCs/>
                <w:sz w:val="20"/>
                <w:szCs w:val="20"/>
              </w:rPr>
              <w:t xml:space="preserve"> (Section 4)</w:t>
            </w:r>
          </w:p>
          <w:p w:rsidR="00743B3D" w:rsidRPr="00C36A69" w:rsidRDefault="00743B3D" w:rsidP="00412F7E">
            <w:pPr>
              <w:autoSpaceDE w:val="0"/>
              <w:autoSpaceDN w:val="0"/>
              <w:adjustRightInd w:val="0"/>
              <w:rPr>
                <w:rFonts w:ascii="Garamond" w:hAnsi="Garamond" w:cs="Garamond-Italic"/>
                <w:i/>
                <w:iCs/>
                <w:sz w:val="20"/>
                <w:szCs w:val="20"/>
              </w:rPr>
            </w:pPr>
            <w:r w:rsidRPr="00A51FB7">
              <w:rPr>
                <w:rFonts w:ascii="Garamond" w:hAnsi="Garamond" w:cs="Garamond-Italic"/>
                <w:i/>
                <w:iCs/>
                <w:sz w:val="20"/>
                <w:szCs w:val="20"/>
              </w:rPr>
              <w:t>Facilitates increased coordination and alignment between the public and private sector quality measures:</w:t>
            </w:r>
          </w:p>
          <w:p w:rsidR="00743B3D" w:rsidRPr="00C36A69" w:rsidRDefault="00743B3D" w:rsidP="00743B3D">
            <w:pPr>
              <w:pStyle w:val="ListParagraph"/>
              <w:numPr>
                <w:ilvl w:val="0"/>
                <w:numId w:val="5"/>
              </w:numPr>
              <w:autoSpaceDE w:val="0"/>
              <w:autoSpaceDN w:val="0"/>
              <w:adjustRightInd w:val="0"/>
              <w:spacing w:after="0" w:line="240" w:lineRule="auto"/>
              <w:rPr>
                <w:rFonts w:ascii="Garamond" w:hAnsi="Garamond" w:cs="Garamond"/>
                <w:sz w:val="20"/>
                <w:szCs w:val="20"/>
              </w:rPr>
            </w:pPr>
            <w:r w:rsidRPr="00C36A69">
              <w:rPr>
                <w:rFonts w:ascii="Garamond" w:hAnsi="Garamond" w:cs="Garamond"/>
                <w:sz w:val="20"/>
                <w:szCs w:val="20"/>
              </w:rPr>
              <w:t>Directs an environmental scan of existing quality measures, measure concepts, and preferred practices for advanced illness, palliative, and end-of-life care used in both private and public sectors and across multiple settings of care.</w:t>
            </w:r>
          </w:p>
          <w:p w:rsidR="00743B3D" w:rsidRPr="00C36A69" w:rsidRDefault="00743B3D" w:rsidP="00743B3D">
            <w:pPr>
              <w:pStyle w:val="ListParagraph"/>
              <w:numPr>
                <w:ilvl w:val="0"/>
                <w:numId w:val="5"/>
              </w:numPr>
              <w:autoSpaceDE w:val="0"/>
              <w:autoSpaceDN w:val="0"/>
              <w:adjustRightInd w:val="0"/>
              <w:spacing w:after="0" w:line="240" w:lineRule="auto"/>
              <w:rPr>
                <w:rFonts w:ascii="Garamond" w:hAnsi="Garamond" w:cs="Garamond"/>
                <w:sz w:val="20"/>
                <w:szCs w:val="20"/>
              </w:rPr>
            </w:pPr>
            <w:r w:rsidRPr="00C36A69">
              <w:rPr>
                <w:rFonts w:ascii="Garamond" w:hAnsi="Garamond" w:cs="Garamond"/>
                <w:sz w:val="20"/>
                <w:szCs w:val="20"/>
              </w:rPr>
              <w:t>Requires NIH to conduct a study regarding the development of measures related to key gaps, such as ensuring that care aligns with patient wishes, better understanding the population that would benefit from palliative care and advance care planning, and appropriate transitions to hospice.</w:t>
            </w:r>
          </w:p>
          <w:p w:rsidR="00743B3D" w:rsidRPr="00C36A69" w:rsidRDefault="00743B3D" w:rsidP="00743B3D">
            <w:pPr>
              <w:pStyle w:val="ListParagraph"/>
              <w:numPr>
                <w:ilvl w:val="0"/>
                <w:numId w:val="5"/>
              </w:numPr>
              <w:autoSpaceDE w:val="0"/>
              <w:autoSpaceDN w:val="0"/>
              <w:adjustRightInd w:val="0"/>
              <w:spacing w:after="0" w:line="240" w:lineRule="auto"/>
              <w:rPr>
                <w:rFonts w:ascii="Garamond" w:hAnsi="Garamond" w:cs="Garamond"/>
                <w:sz w:val="20"/>
                <w:szCs w:val="20"/>
              </w:rPr>
            </w:pPr>
            <w:r w:rsidRPr="00C36A69">
              <w:rPr>
                <w:rFonts w:ascii="Garamond" w:hAnsi="Garamond" w:cs="Garamond"/>
                <w:sz w:val="20"/>
                <w:szCs w:val="20"/>
              </w:rPr>
              <w:t>Directs the Secretary to develop and incorporate quality measures related to end-of-life care under the Medicare Access and CHIP Reauthorization Act (MACRA) and Improving Medicare Post-Acute Care Transformation Act (IMPACT) reforms, and into Medicare Advantage programs and Alternative Payment Models.</w:t>
            </w:r>
          </w:p>
        </w:tc>
        <w:tc>
          <w:tcPr>
            <w:tcW w:w="3192" w:type="dxa"/>
          </w:tcPr>
          <w:p w:rsidR="00743B3D" w:rsidRPr="00743B3D" w:rsidRDefault="00743B3D" w:rsidP="00412F7E">
            <w:pPr>
              <w:pStyle w:val="Default"/>
              <w:rPr>
                <w:rFonts w:ascii="Garamond" w:hAnsi="Garamond"/>
                <w:sz w:val="20"/>
                <w:szCs w:val="20"/>
              </w:rPr>
            </w:pPr>
            <w:r w:rsidRPr="00743B3D">
              <w:rPr>
                <w:rFonts w:ascii="Garamond" w:hAnsi="Garamond"/>
                <w:b/>
                <w:bCs/>
                <w:sz w:val="20"/>
                <w:szCs w:val="20"/>
              </w:rPr>
              <w:t>Quality Measurement Development (Section 4)</w:t>
            </w:r>
          </w:p>
          <w:p w:rsidR="00743B3D" w:rsidRPr="00743B3D" w:rsidRDefault="00743B3D" w:rsidP="00412F7E">
            <w:pPr>
              <w:rPr>
                <w:rFonts w:ascii="Garamond" w:hAnsi="Garamond"/>
                <w:sz w:val="20"/>
                <w:szCs w:val="20"/>
              </w:rPr>
            </w:pPr>
            <w:r w:rsidRPr="00743B3D">
              <w:rPr>
                <w:rFonts w:ascii="Garamond" w:hAnsi="Garamond"/>
                <w:i/>
                <w:iCs/>
                <w:sz w:val="20"/>
                <w:szCs w:val="20"/>
              </w:rPr>
              <w:t>Directs the Secretary to develop quality measures</w:t>
            </w:r>
            <w:r w:rsidRPr="00743B3D">
              <w:rPr>
                <w:rFonts w:ascii="Garamond" w:hAnsi="Garamond"/>
                <w:sz w:val="20"/>
                <w:szCs w:val="20"/>
              </w:rPr>
              <w:t>: Appropriates $5 million for HHS to identify gaps and develop quality measures to evaluate the efficacy of Planning Services, focusing on evaluating quality by linking patient goals to the plan, treatment received, and treatment outcomes.</w:t>
            </w:r>
          </w:p>
        </w:tc>
      </w:tr>
      <w:tr w:rsidR="00743B3D" w:rsidRPr="00A51FB7" w:rsidTr="00412F7E">
        <w:tc>
          <w:tcPr>
            <w:tcW w:w="3192" w:type="dxa"/>
          </w:tcPr>
          <w:p w:rsidR="00743B3D" w:rsidRPr="00C36A69" w:rsidRDefault="00743B3D" w:rsidP="00412F7E">
            <w:pPr>
              <w:rPr>
                <w:rFonts w:ascii="Garamond" w:hAnsi="Garamond"/>
                <w:b/>
                <w:sz w:val="20"/>
                <w:szCs w:val="20"/>
              </w:rPr>
            </w:pPr>
            <w:r>
              <w:rPr>
                <w:rFonts w:ascii="Garamond" w:hAnsi="Garamond"/>
                <w:b/>
                <w:sz w:val="20"/>
                <w:szCs w:val="20"/>
              </w:rPr>
              <w:t xml:space="preserve">Enhanced </w:t>
            </w:r>
            <w:r w:rsidRPr="00C36A69">
              <w:rPr>
                <w:rFonts w:ascii="Garamond" w:hAnsi="Garamond"/>
                <w:b/>
                <w:sz w:val="20"/>
                <w:szCs w:val="20"/>
              </w:rPr>
              <w:t>Advanced Care Planning Services</w:t>
            </w:r>
          </w:p>
        </w:tc>
        <w:tc>
          <w:tcPr>
            <w:tcW w:w="3192" w:type="dxa"/>
          </w:tcPr>
          <w:p w:rsidR="00743B3D" w:rsidRPr="00C36A69" w:rsidRDefault="00743B3D" w:rsidP="00412F7E">
            <w:pPr>
              <w:autoSpaceDE w:val="0"/>
              <w:autoSpaceDN w:val="0"/>
              <w:adjustRightInd w:val="0"/>
              <w:rPr>
                <w:rFonts w:ascii="Garamond" w:hAnsi="Garamond" w:cs="Garamond-Bold"/>
                <w:b/>
                <w:bCs/>
                <w:sz w:val="20"/>
                <w:szCs w:val="20"/>
              </w:rPr>
            </w:pPr>
            <w:r w:rsidRPr="00C36A69">
              <w:rPr>
                <w:rFonts w:ascii="Garamond" w:hAnsi="Garamond" w:cs="Garamond-Bold"/>
                <w:b/>
                <w:bCs/>
                <w:sz w:val="20"/>
                <w:szCs w:val="20"/>
              </w:rPr>
              <w:t>Enhancing coverage of advance care planning services. (Section 5)</w:t>
            </w:r>
          </w:p>
          <w:p w:rsidR="00743B3D" w:rsidRPr="00C36A69" w:rsidRDefault="00743B3D" w:rsidP="00412F7E">
            <w:pPr>
              <w:autoSpaceDE w:val="0"/>
              <w:autoSpaceDN w:val="0"/>
              <w:adjustRightInd w:val="0"/>
              <w:rPr>
                <w:rFonts w:ascii="Garamond" w:hAnsi="Garamond" w:cs="Garamond-Italic"/>
                <w:i/>
                <w:iCs/>
                <w:sz w:val="20"/>
                <w:szCs w:val="20"/>
              </w:rPr>
            </w:pPr>
            <w:r w:rsidRPr="00C36A69">
              <w:rPr>
                <w:rFonts w:ascii="Garamond" w:hAnsi="Garamond" w:cs="Garamond-Italic"/>
                <w:i/>
                <w:iCs/>
                <w:sz w:val="20"/>
                <w:szCs w:val="20"/>
              </w:rPr>
              <w:t>Improves Medicare’s existing coverage for advance care planning services, by:</w:t>
            </w:r>
          </w:p>
          <w:p w:rsidR="00743B3D" w:rsidRPr="00C36A69" w:rsidRDefault="00743B3D" w:rsidP="00412F7E">
            <w:pPr>
              <w:autoSpaceDE w:val="0"/>
              <w:autoSpaceDN w:val="0"/>
              <w:adjustRightInd w:val="0"/>
              <w:rPr>
                <w:rFonts w:ascii="Garamond" w:hAnsi="Garamond" w:cs="Garamond"/>
                <w:sz w:val="20"/>
                <w:szCs w:val="20"/>
              </w:rPr>
            </w:pPr>
            <w:r w:rsidRPr="00C36A69">
              <w:rPr>
                <w:rFonts w:ascii="Garamond" w:hAnsi="Garamond" w:cs="Symbol"/>
                <w:sz w:val="20"/>
                <w:szCs w:val="20"/>
              </w:rPr>
              <w:t xml:space="preserve">• </w:t>
            </w:r>
            <w:r w:rsidRPr="00C36A69">
              <w:rPr>
                <w:rFonts w:ascii="Garamond" w:hAnsi="Garamond" w:cs="Garamond"/>
                <w:sz w:val="20"/>
                <w:szCs w:val="20"/>
              </w:rPr>
              <w:t>Allowing appropriately trained or experienced clinical social workers to provide advance care planning services;</w:t>
            </w:r>
          </w:p>
          <w:p w:rsidR="00743B3D" w:rsidRPr="00C36A69" w:rsidRDefault="00743B3D" w:rsidP="00412F7E">
            <w:pPr>
              <w:rPr>
                <w:rFonts w:ascii="Garamond" w:hAnsi="Garamond"/>
                <w:sz w:val="20"/>
                <w:szCs w:val="20"/>
              </w:rPr>
            </w:pPr>
            <w:r w:rsidRPr="00C36A69">
              <w:rPr>
                <w:rFonts w:ascii="Garamond" w:hAnsi="Garamond" w:cs="Symbol"/>
                <w:sz w:val="20"/>
                <w:szCs w:val="20"/>
              </w:rPr>
              <w:t xml:space="preserve">• </w:t>
            </w:r>
            <w:r w:rsidRPr="00C36A69">
              <w:rPr>
                <w:rFonts w:ascii="Garamond" w:hAnsi="Garamond" w:cs="Garamond"/>
                <w:sz w:val="20"/>
                <w:szCs w:val="20"/>
              </w:rPr>
              <w:t>Ensuring that costs are not a barrier to patients using these services.</w:t>
            </w:r>
          </w:p>
        </w:tc>
        <w:tc>
          <w:tcPr>
            <w:tcW w:w="3192" w:type="dxa"/>
          </w:tcPr>
          <w:p w:rsidR="00743B3D" w:rsidRPr="00743B3D" w:rsidRDefault="00743B3D" w:rsidP="00412F7E">
            <w:pPr>
              <w:pStyle w:val="Default"/>
              <w:rPr>
                <w:rFonts w:ascii="Garamond" w:hAnsi="Garamond"/>
                <w:sz w:val="20"/>
                <w:szCs w:val="20"/>
              </w:rPr>
            </w:pPr>
          </w:p>
        </w:tc>
      </w:tr>
      <w:tr w:rsidR="00743B3D" w:rsidRPr="00A51FB7" w:rsidTr="00412F7E">
        <w:tc>
          <w:tcPr>
            <w:tcW w:w="3192" w:type="dxa"/>
          </w:tcPr>
          <w:p w:rsidR="00743B3D" w:rsidRPr="00A7285C" w:rsidRDefault="00743B3D" w:rsidP="00412F7E">
            <w:pPr>
              <w:rPr>
                <w:rFonts w:ascii="Garamond" w:hAnsi="Garamond"/>
                <w:b/>
                <w:sz w:val="20"/>
                <w:szCs w:val="20"/>
              </w:rPr>
            </w:pPr>
            <w:r w:rsidRPr="00A7285C">
              <w:rPr>
                <w:rFonts w:ascii="Garamond" w:hAnsi="Garamond"/>
                <w:b/>
                <w:sz w:val="20"/>
                <w:szCs w:val="20"/>
              </w:rPr>
              <w:t>Advance Care Planning Support Tools</w:t>
            </w:r>
          </w:p>
        </w:tc>
        <w:tc>
          <w:tcPr>
            <w:tcW w:w="3192" w:type="dxa"/>
          </w:tcPr>
          <w:p w:rsidR="00743B3D" w:rsidRPr="00A7285C" w:rsidRDefault="00743B3D" w:rsidP="00412F7E">
            <w:pPr>
              <w:autoSpaceDE w:val="0"/>
              <w:autoSpaceDN w:val="0"/>
              <w:adjustRightInd w:val="0"/>
              <w:rPr>
                <w:rFonts w:ascii="Garamond" w:hAnsi="Garamond" w:cs="Garamond-Bold"/>
                <w:b/>
                <w:bCs/>
                <w:sz w:val="20"/>
                <w:szCs w:val="20"/>
              </w:rPr>
            </w:pPr>
            <w:r w:rsidRPr="00A7285C">
              <w:rPr>
                <w:rFonts w:ascii="Garamond" w:hAnsi="Garamond" w:cs="Garamond-Bold"/>
                <w:b/>
                <w:bCs/>
                <w:sz w:val="20"/>
                <w:szCs w:val="20"/>
              </w:rPr>
              <w:t>Advance care planning support tools.</w:t>
            </w:r>
            <w:r>
              <w:rPr>
                <w:rFonts w:ascii="Garamond" w:hAnsi="Garamond" w:cs="Garamond-Bold"/>
                <w:b/>
                <w:bCs/>
                <w:sz w:val="20"/>
                <w:szCs w:val="20"/>
              </w:rPr>
              <w:t xml:space="preserve"> (Section 6)</w:t>
            </w:r>
          </w:p>
          <w:p w:rsidR="00743B3D" w:rsidRPr="00A7285C" w:rsidRDefault="00743B3D" w:rsidP="00412F7E">
            <w:pPr>
              <w:autoSpaceDE w:val="0"/>
              <w:autoSpaceDN w:val="0"/>
              <w:adjustRightInd w:val="0"/>
              <w:rPr>
                <w:rFonts w:ascii="Garamond" w:hAnsi="Garamond" w:cs="Garamond-Italic"/>
                <w:i/>
                <w:iCs/>
                <w:sz w:val="20"/>
                <w:szCs w:val="20"/>
              </w:rPr>
            </w:pPr>
            <w:r w:rsidRPr="00A7285C">
              <w:rPr>
                <w:rFonts w:ascii="Garamond" w:hAnsi="Garamond" w:cs="Garamond-Italic"/>
                <w:i/>
                <w:iCs/>
                <w:sz w:val="20"/>
                <w:szCs w:val="20"/>
              </w:rPr>
              <w:t>Will ensure that patients and providers have the support tools they need by:</w:t>
            </w:r>
          </w:p>
          <w:p w:rsidR="00743B3D" w:rsidRPr="00A7285C" w:rsidRDefault="00743B3D" w:rsidP="00412F7E">
            <w:pPr>
              <w:autoSpaceDE w:val="0"/>
              <w:autoSpaceDN w:val="0"/>
              <w:adjustRightInd w:val="0"/>
              <w:rPr>
                <w:rFonts w:ascii="Garamond" w:hAnsi="Garamond" w:cs="Garamond"/>
                <w:sz w:val="20"/>
                <w:szCs w:val="20"/>
              </w:rPr>
            </w:pPr>
            <w:r w:rsidRPr="00A7285C">
              <w:rPr>
                <w:rFonts w:ascii="Garamond" w:hAnsi="Garamond" w:cs="Symbol"/>
                <w:sz w:val="20"/>
                <w:szCs w:val="20"/>
              </w:rPr>
              <w:t xml:space="preserve">• </w:t>
            </w:r>
            <w:r w:rsidRPr="00A7285C">
              <w:rPr>
                <w:rFonts w:ascii="Garamond" w:hAnsi="Garamond" w:cs="Garamond"/>
                <w:sz w:val="20"/>
                <w:szCs w:val="20"/>
              </w:rPr>
              <w:t>Directing the Secretary to include information in the Medicare &amp; You Handbook about advance directives, planning</w:t>
            </w:r>
            <w:r>
              <w:rPr>
                <w:rFonts w:ascii="Garamond" w:hAnsi="Garamond" w:cs="Garamond"/>
                <w:sz w:val="20"/>
                <w:szCs w:val="20"/>
              </w:rPr>
              <w:t xml:space="preserve"> </w:t>
            </w:r>
            <w:r w:rsidRPr="00A7285C">
              <w:rPr>
                <w:rFonts w:ascii="Garamond" w:hAnsi="Garamond" w:cs="Garamond"/>
                <w:sz w:val="20"/>
                <w:szCs w:val="20"/>
              </w:rPr>
              <w:t>services, planning tools, and portable treatment orders.</w:t>
            </w:r>
          </w:p>
          <w:p w:rsidR="00743B3D" w:rsidRPr="00C36A69" w:rsidRDefault="00743B3D" w:rsidP="00412F7E">
            <w:pPr>
              <w:autoSpaceDE w:val="0"/>
              <w:autoSpaceDN w:val="0"/>
              <w:adjustRightInd w:val="0"/>
              <w:rPr>
                <w:rFonts w:ascii="Garamond" w:hAnsi="Garamond"/>
                <w:sz w:val="20"/>
                <w:szCs w:val="20"/>
              </w:rPr>
            </w:pPr>
            <w:r w:rsidRPr="00A7285C">
              <w:rPr>
                <w:rFonts w:ascii="Garamond" w:hAnsi="Garamond" w:cs="Symbol"/>
                <w:sz w:val="20"/>
                <w:szCs w:val="20"/>
              </w:rPr>
              <w:t xml:space="preserve">• </w:t>
            </w:r>
            <w:r w:rsidRPr="00A7285C">
              <w:rPr>
                <w:rFonts w:ascii="Garamond" w:hAnsi="Garamond" w:cs="Garamond"/>
                <w:sz w:val="20"/>
                <w:szCs w:val="20"/>
              </w:rPr>
              <w:t xml:space="preserve">Requiring the Secretary to develop standards for including completed advance </w:t>
            </w:r>
            <w:r w:rsidRPr="00A7285C">
              <w:rPr>
                <w:rFonts w:ascii="Garamond" w:hAnsi="Garamond" w:cs="Garamond"/>
                <w:sz w:val="20"/>
                <w:szCs w:val="20"/>
              </w:rPr>
              <w:lastRenderedPageBreak/>
              <w:t>care planning documents within a</w:t>
            </w:r>
            <w:r>
              <w:rPr>
                <w:rFonts w:ascii="Garamond" w:hAnsi="Garamond" w:cs="Garamond"/>
                <w:sz w:val="20"/>
                <w:szCs w:val="20"/>
              </w:rPr>
              <w:t xml:space="preserve"> </w:t>
            </w:r>
            <w:r w:rsidRPr="00A7285C">
              <w:rPr>
                <w:rFonts w:ascii="Garamond" w:hAnsi="Garamond" w:cs="Garamond"/>
                <w:sz w:val="20"/>
                <w:szCs w:val="20"/>
              </w:rPr>
              <w:t>patient’s electronic health record.</w:t>
            </w:r>
          </w:p>
        </w:tc>
        <w:tc>
          <w:tcPr>
            <w:tcW w:w="3192" w:type="dxa"/>
          </w:tcPr>
          <w:p w:rsidR="00743B3D" w:rsidRPr="00743B3D" w:rsidRDefault="00743B3D" w:rsidP="00412F7E">
            <w:pPr>
              <w:pStyle w:val="Default"/>
              <w:rPr>
                <w:rFonts w:ascii="Garamond" w:hAnsi="Garamond"/>
                <w:sz w:val="20"/>
                <w:szCs w:val="20"/>
              </w:rPr>
            </w:pPr>
            <w:r w:rsidRPr="00743B3D">
              <w:rPr>
                <w:rFonts w:ascii="Garamond" w:hAnsi="Garamond"/>
                <w:b/>
                <w:bCs/>
                <w:sz w:val="20"/>
                <w:szCs w:val="20"/>
              </w:rPr>
              <w:lastRenderedPageBreak/>
              <w:t>Inclusion of Advanced Care Planning Materials in the Medicare &amp; You Handbook (Section 5)</w:t>
            </w:r>
          </w:p>
          <w:p w:rsidR="00743B3D" w:rsidRPr="00743B3D" w:rsidRDefault="00743B3D" w:rsidP="00412F7E">
            <w:pPr>
              <w:rPr>
                <w:rFonts w:ascii="Garamond" w:hAnsi="Garamond"/>
                <w:sz w:val="20"/>
                <w:szCs w:val="20"/>
              </w:rPr>
            </w:pPr>
            <w:r w:rsidRPr="00743B3D">
              <w:rPr>
                <w:rFonts w:ascii="Garamond" w:hAnsi="Garamond"/>
                <w:i/>
                <w:iCs/>
                <w:sz w:val="20"/>
                <w:szCs w:val="20"/>
              </w:rPr>
              <w:t>Directs the Secretary to include information in the Medicare &amp; You Handbook about advance directives, planning services, planning tools, and portable treatment orders.</w:t>
            </w:r>
          </w:p>
        </w:tc>
      </w:tr>
      <w:tr w:rsidR="00743B3D" w:rsidRPr="00A51FB7" w:rsidTr="00412F7E">
        <w:tc>
          <w:tcPr>
            <w:tcW w:w="3192" w:type="dxa"/>
          </w:tcPr>
          <w:p w:rsidR="00743B3D" w:rsidRPr="00C36A69" w:rsidRDefault="00743B3D" w:rsidP="00412F7E">
            <w:pPr>
              <w:autoSpaceDE w:val="0"/>
              <w:autoSpaceDN w:val="0"/>
              <w:adjustRightInd w:val="0"/>
              <w:rPr>
                <w:rFonts w:ascii="Garamond" w:hAnsi="Garamond" w:cs="Garamond-Bold"/>
                <w:b/>
                <w:bCs/>
                <w:sz w:val="20"/>
                <w:szCs w:val="20"/>
              </w:rPr>
            </w:pPr>
            <w:r w:rsidRPr="00C36A69">
              <w:rPr>
                <w:rFonts w:ascii="Garamond" w:hAnsi="Garamond" w:cs="Garamond-Bold"/>
                <w:b/>
                <w:bCs/>
                <w:sz w:val="20"/>
                <w:szCs w:val="20"/>
              </w:rPr>
              <w:lastRenderedPageBreak/>
              <w:t>Improvement of Policies Related to the Use and Portability of Advance Directives and Portable Orders</w:t>
            </w:r>
          </w:p>
          <w:p w:rsidR="00743B3D" w:rsidRPr="00A51FB7" w:rsidRDefault="00743B3D" w:rsidP="00412F7E">
            <w:pPr>
              <w:rPr>
                <w:rFonts w:ascii="Garamond" w:hAnsi="Garamond"/>
                <w:sz w:val="20"/>
                <w:szCs w:val="20"/>
              </w:rPr>
            </w:pPr>
          </w:p>
        </w:tc>
        <w:tc>
          <w:tcPr>
            <w:tcW w:w="3192" w:type="dxa"/>
          </w:tcPr>
          <w:p w:rsidR="00743B3D" w:rsidRPr="00C36A69" w:rsidRDefault="00743B3D" w:rsidP="00412F7E">
            <w:pPr>
              <w:autoSpaceDE w:val="0"/>
              <w:autoSpaceDN w:val="0"/>
              <w:adjustRightInd w:val="0"/>
              <w:rPr>
                <w:rFonts w:ascii="Garamond" w:hAnsi="Garamond" w:cs="Garamond-Bold"/>
                <w:b/>
                <w:bCs/>
                <w:sz w:val="20"/>
                <w:szCs w:val="20"/>
              </w:rPr>
            </w:pPr>
            <w:r w:rsidRPr="00C36A69">
              <w:rPr>
                <w:rFonts w:ascii="Garamond" w:hAnsi="Garamond" w:cs="Garamond-Bold"/>
                <w:b/>
                <w:bCs/>
                <w:sz w:val="20"/>
                <w:szCs w:val="20"/>
              </w:rPr>
              <w:t>Improvement of Policies Related to the Use and Portability of Advance Directives and Portable Orders</w:t>
            </w:r>
            <w:r>
              <w:rPr>
                <w:rFonts w:ascii="Garamond" w:hAnsi="Garamond" w:cs="Garamond-Bold"/>
                <w:b/>
                <w:bCs/>
                <w:sz w:val="20"/>
                <w:szCs w:val="20"/>
              </w:rPr>
              <w:t xml:space="preserve"> (Section 7)</w:t>
            </w:r>
          </w:p>
          <w:p w:rsidR="00743B3D" w:rsidRPr="00A7285C" w:rsidRDefault="00743B3D" w:rsidP="00412F7E">
            <w:pPr>
              <w:autoSpaceDE w:val="0"/>
              <w:autoSpaceDN w:val="0"/>
              <w:adjustRightInd w:val="0"/>
              <w:rPr>
                <w:rFonts w:ascii="Garamond" w:hAnsi="Garamond" w:cs="Garamond-Italic"/>
                <w:i/>
                <w:iCs/>
                <w:sz w:val="20"/>
                <w:szCs w:val="20"/>
              </w:rPr>
            </w:pPr>
            <w:r w:rsidRPr="00A7285C">
              <w:rPr>
                <w:rFonts w:ascii="Garamond" w:hAnsi="Garamond" w:cs="Garamond-Italic"/>
                <w:i/>
                <w:iCs/>
                <w:sz w:val="20"/>
                <w:szCs w:val="20"/>
              </w:rPr>
              <w:t>Requires Medicare providers of services and entities to follow individuals’ preferences:</w:t>
            </w:r>
          </w:p>
          <w:p w:rsidR="00743B3D" w:rsidRPr="00A7285C" w:rsidRDefault="00743B3D" w:rsidP="00743B3D">
            <w:pPr>
              <w:pStyle w:val="ListParagraph"/>
              <w:numPr>
                <w:ilvl w:val="0"/>
                <w:numId w:val="6"/>
              </w:numPr>
              <w:autoSpaceDE w:val="0"/>
              <w:autoSpaceDN w:val="0"/>
              <w:adjustRightInd w:val="0"/>
              <w:spacing w:after="0" w:line="240" w:lineRule="auto"/>
              <w:rPr>
                <w:rFonts w:ascii="Garamond" w:hAnsi="Garamond" w:cs="Garamond"/>
                <w:sz w:val="20"/>
                <w:szCs w:val="20"/>
              </w:rPr>
            </w:pPr>
            <w:r w:rsidRPr="00A7285C">
              <w:rPr>
                <w:rFonts w:ascii="Garamond" w:hAnsi="Garamond" w:cs="Garamond"/>
                <w:sz w:val="20"/>
                <w:szCs w:val="20"/>
              </w:rPr>
              <w:t>Ensures that advance directives should follow the patient; regardless of the state or site of care</w:t>
            </w:r>
          </w:p>
          <w:p w:rsidR="00743B3D" w:rsidRPr="00E14B65" w:rsidRDefault="00743B3D" w:rsidP="00743B3D">
            <w:pPr>
              <w:pStyle w:val="ListParagraph"/>
              <w:numPr>
                <w:ilvl w:val="1"/>
                <w:numId w:val="6"/>
              </w:numPr>
              <w:autoSpaceDE w:val="0"/>
              <w:autoSpaceDN w:val="0"/>
              <w:adjustRightInd w:val="0"/>
              <w:spacing w:after="0" w:line="240" w:lineRule="auto"/>
              <w:rPr>
                <w:rFonts w:ascii="Garamond" w:hAnsi="Garamond" w:cs="Garamond"/>
                <w:sz w:val="20"/>
                <w:szCs w:val="20"/>
              </w:rPr>
            </w:pPr>
            <w:r w:rsidRPr="00E14B65">
              <w:rPr>
                <w:rFonts w:ascii="Garamond" w:hAnsi="Garamond" w:cs="Garamond"/>
                <w:sz w:val="20"/>
                <w:szCs w:val="20"/>
              </w:rPr>
              <w:t>Physicians and other health care providers and organizations must honor patient preferences in making treatment decisions.</w:t>
            </w:r>
          </w:p>
          <w:p w:rsidR="00743B3D" w:rsidRPr="00A7285C" w:rsidRDefault="00743B3D" w:rsidP="00743B3D">
            <w:pPr>
              <w:pStyle w:val="ListParagraph"/>
              <w:numPr>
                <w:ilvl w:val="0"/>
                <w:numId w:val="6"/>
              </w:numPr>
              <w:autoSpaceDE w:val="0"/>
              <w:autoSpaceDN w:val="0"/>
              <w:adjustRightInd w:val="0"/>
              <w:spacing w:after="0" w:line="240" w:lineRule="auto"/>
              <w:rPr>
                <w:rFonts w:ascii="Garamond" w:hAnsi="Garamond" w:cs="Garamond"/>
                <w:sz w:val="20"/>
                <w:szCs w:val="20"/>
              </w:rPr>
            </w:pPr>
            <w:r w:rsidRPr="00A7285C">
              <w:rPr>
                <w:rFonts w:ascii="Garamond" w:hAnsi="Garamond" w:cs="Garamond"/>
                <w:sz w:val="20"/>
                <w:szCs w:val="20"/>
              </w:rPr>
              <w:t>Directs the Comptroller General to study the use, portability, and electronic storage of advance directives.</w:t>
            </w:r>
          </w:p>
          <w:p w:rsidR="00743B3D" w:rsidRPr="00E14B65" w:rsidRDefault="00743B3D" w:rsidP="00412F7E">
            <w:pPr>
              <w:autoSpaceDE w:val="0"/>
              <w:autoSpaceDN w:val="0"/>
              <w:adjustRightInd w:val="0"/>
              <w:rPr>
                <w:rFonts w:ascii="Garamond" w:hAnsi="Garamond"/>
                <w:sz w:val="20"/>
                <w:szCs w:val="20"/>
              </w:rPr>
            </w:pPr>
          </w:p>
        </w:tc>
        <w:tc>
          <w:tcPr>
            <w:tcW w:w="3192" w:type="dxa"/>
          </w:tcPr>
          <w:p w:rsidR="00743B3D" w:rsidRPr="00743B3D" w:rsidRDefault="00743B3D" w:rsidP="00412F7E">
            <w:pPr>
              <w:pStyle w:val="Default"/>
              <w:rPr>
                <w:rFonts w:ascii="Garamond" w:hAnsi="Garamond"/>
                <w:sz w:val="20"/>
                <w:szCs w:val="20"/>
              </w:rPr>
            </w:pPr>
            <w:r w:rsidRPr="00743B3D">
              <w:rPr>
                <w:rFonts w:ascii="Garamond" w:hAnsi="Garamond"/>
                <w:b/>
                <w:bCs/>
                <w:sz w:val="20"/>
                <w:szCs w:val="20"/>
              </w:rPr>
              <w:t>Improvement of Policies Related to the Use and Portability of Advance Directives and Portable Orders (Section 6)</w:t>
            </w:r>
          </w:p>
          <w:p w:rsidR="00743B3D" w:rsidRPr="00743B3D" w:rsidRDefault="00743B3D" w:rsidP="00412F7E">
            <w:pPr>
              <w:pStyle w:val="Default"/>
              <w:rPr>
                <w:rFonts w:ascii="Garamond" w:hAnsi="Garamond"/>
                <w:sz w:val="20"/>
                <w:szCs w:val="20"/>
              </w:rPr>
            </w:pPr>
            <w:r w:rsidRPr="00743B3D">
              <w:rPr>
                <w:rFonts w:ascii="Garamond" w:hAnsi="Garamond"/>
                <w:i/>
                <w:iCs/>
                <w:sz w:val="20"/>
                <w:szCs w:val="20"/>
              </w:rPr>
              <w:t xml:space="preserve">Requires Medicare providers of services and entities to follow individuals’ preferences: </w:t>
            </w:r>
          </w:p>
          <w:p w:rsidR="00743B3D" w:rsidRPr="00743B3D" w:rsidRDefault="00743B3D" w:rsidP="00743B3D">
            <w:pPr>
              <w:pStyle w:val="Default"/>
              <w:numPr>
                <w:ilvl w:val="0"/>
                <w:numId w:val="7"/>
              </w:numPr>
              <w:rPr>
                <w:rFonts w:ascii="Garamond" w:hAnsi="Garamond"/>
                <w:sz w:val="20"/>
                <w:szCs w:val="20"/>
              </w:rPr>
            </w:pPr>
            <w:r w:rsidRPr="00743B3D">
              <w:rPr>
                <w:rFonts w:ascii="Garamond" w:hAnsi="Garamond"/>
                <w:sz w:val="20"/>
                <w:szCs w:val="20"/>
              </w:rPr>
              <w:t xml:space="preserve">Hospitals, home health agencies, hospices, and skilled nursing facilities must honor patient preferences in making treatment decisions. These facilities must have in place policies and procedures to: </w:t>
            </w:r>
          </w:p>
          <w:p w:rsidR="00743B3D" w:rsidRPr="00743B3D" w:rsidRDefault="00743B3D" w:rsidP="00743B3D">
            <w:pPr>
              <w:pStyle w:val="Default"/>
              <w:numPr>
                <w:ilvl w:val="1"/>
                <w:numId w:val="7"/>
              </w:numPr>
              <w:spacing w:after="17"/>
              <w:rPr>
                <w:rFonts w:ascii="Garamond" w:hAnsi="Garamond"/>
                <w:sz w:val="20"/>
                <w:szCs w:val="20"/>
              </w:rPr>
            </w:pPr>
            <w:r w:rsidRPr="00743B3D">
              <w:rPr>
                <w:rFonts w:ascii="Garamond" w:hAnsi="Garamond"/>
                <w:sz w:val="20"/>
                <w:szCs w:val="20"/>
              </w:rPr>
              <w:t xml:space="preserve">Provide individuals with information about their rights concerning medical decision-making; </w:t>
            </w:r>
          </w:p>
          <w:p w:rsidR="00743B3D" w:rsidRPr="00743B3D" w:rsidRDefault="00743B3D" w:rsidP="00743B3D">
            <w:pPr>
              <w:pStyle w:val="Default"/>
              <w:numPr>
                <w:ilvl w:val="1"/>
                <w:numId w:val="7"/>
              </w:numPr>
              <w:spacing w:after="17"/>
              <w:rPr>
                <w:rFonts w:ascii="Garamond" w:hAnsi="Garamond"/>
                <w:sz w:val="20"/>
                <w:szCs w:val="20"/>
              </w:rPr>
            </w:pPr>
            <w:r w:rsidRPr="00743B3D">
              <w:rPr>
                <w:rFonts w:ascii="Garamond" w:hAnsi="Garamond"/>
                <w:sz w:val="20"/>
                <w:szCs w:val="20"/>
              </w:rPr>
              <w:t xml:space="preserve">Include in the medical record the contents of, and whether individuals report having, an advance directive or portable treatment order; </w:t>
            </w:r>
          </w:p>
          <w:p w:rsidR="00743B3D" w:rsidRPr="00743B3D" w:rsidRDefault="00743B3D" w:rsidP="00743B3D">
            <w:pPr>
              <w:pStyle w:val="Default"/>
              <w:numPr>
                <w:ilvl w:val="1"/>
                <w:numId w:val="7"/>
              </w:numPr>
              <w:spacing w:after="17"/>
              <w:rPr>
                <w:rFonts w:ascii="Garamond" w:hAnsi="Garamond"/>
                <w:sz w:val="20"/>
                <w:szCs w:val="20"/>
              </w:rPr>
            </w:pPr>
            <w:r w:rsidRPr="00743B3D">
              <w:rPr>
                <w:rFonts w:ascii="Garamond" w:hAnsi="Garamond"/>
                <w:sz w:val="20"/>
                <w:szCs w:val="20"/>
              </w:rPr>
              <w:t xml:space="preserve">Offer individuals the opportunity to discuss advance directives with appropriately trained personnel; </w:t>
            </w:r>
          </w:p>
          <w:p w:rsidR="00743B3D" w:rsidRPr="00743B3D" w:rsidRDefault="00743B3D" w:rsidP="00743B3D">
            <w:pPr>
              <w:pStyle w:val="Default"/>
              <w:numPr>
                <w:ilvl w:val="1"/>
                <w:numId w:val="7"/>
              </w:numPr>
              <w:spacing w:after="17"/>
              <w:rPr>
                <w:rFonts w:ascii="Garamond" w:hAnsi="Garamond"/>
                <w:sz w:val="20"/>
                <w:szCs w:val="20"/>
              </w:rPr>
            </w:pPr>
            <w:r w:rsidRPr="00743B3D">
              <w:rPr>
                <w:rFonts w:ascii="Garamond" w:hAnsi="Garamond"/>
                <w:sz w:val="20"/>
                <w:szCs w:val="20"/>
              </w:rPr>
              <w:t xml:space="preserve">Provide care that is consistent with an individual’s preferences, or evidence of preferences; and </w:t>
            </w:r>
          </w:p>
          <w:p w:rsidR="00743B3D" w:rsidRPr="00743B3D" w:rsidRDefault="00743B3D" w:rsidP="00743B3D">
            <w:pPr>
              <w:pStyle w:val="Default"/>
              <w:numPr>
                <w:ilvl w:val="1"/>
                <w:numId w:val="7"/>
              </w:numPr>
              <w:rPr>
                <w:rFonts w:ascii="Garamond" w:hAnsi="Garamond"/>
                <w:sz w:val="20"/>
                <w:szCs w:val="20"/>
              </w:rPr>
            </w:pPr>
            <w:r w:rsidRPr="00743B3D">
              <w:rPr>
                <w:rFonts w:ascii="Garamond" w:hAnsi="Garamond"/>
                <w:sz w:val="20"/>
                <w:szCs w:val="20"/>
              </w:rPr>
              <w:t>Address circumstances under which providers would not comply with a documented preference</w:t>
            </w:r>
          </w:p>
        </w:tc>
      </w:tr>
      <w:tr w:rsidR="00743B3D" w:rsidRPr="00A51FB7" w:rsidTr="00412F7E">
        <w:tc>
          <w:tcPr>
            <w:tcW w:w="3192" w:type="dxa"/>
          </w:tcPr>
          <w:p w:rsidR="00743B3D" w:rsidRPr="00C36A69" w:rsidRDefault="00743B3D" w:rsidP="00412F7E">
            <w:pPr>
              <w:autoSpaceDE w:val="0"/>
              <w:autoSpaceDN w:val="0"/>
              <w:adjustRightInd w:val="0"/>
              <w:rPr>
                <w:rFonts w:ascii="Garamond" w:hAnsi="Garamond" w:cs="Garamond-Bold"/>
                <w:b/>
                <w:bCs/>
                <w:sz w:val="20"/>
                <w:szCs w:val="20"/>
              </w:rPr>
            </w:pPr>
            <w:r w:rsidRPr="00C36A69">
              <w:rPr>
                <w:rFonts w:ascii="Garamond" w:hAnsi="Garamond" w:cs="Garamond-Bold"/>
                <w:b/>
                <w:bCs/>
                <w:sz w:val="20"/>
                <w:szCs w:val="20"/>
              </w:rPr>
              <w:t>Additional Requirements for Facilities</w:t>
            </w:r>
          </w:p>
        </w:tc>
        <w:tc>
          <w:tcPr>
            <w:tcW w:w="3192" w:type="dxa"/>
          </w:tcPr>
          <w:p w:rsidR="00743B3D" w:rsidRPr="00C36A69" w:rsidRDefault="00743B3D" w:rsidP="00412F7E">
            <w:pPr>
              <w:autoSpaceDE w:val="0"/>
              <w:autoSpaceDN w:val="0"/>
              <w:adjustRightInd w:val="0"/>
              <w:rPr>
                <w:rFonts w:ascii="Garamond" w:hAnsi="Garamond" w:cs="Garamond-Bold"/>
                <w:b/>
                <w:bCs/>
                <w:sz w:val="20"/>
                <w:szCs w:val="20"/>
              </w:rPr>
            </w:pPr>
            <w:r w:rsidRPr="00C36A69">
              <w:rPr>
                <w:rFonts w:ascii="Garamond" w:hAnsi="Garamond" w:cs="Garamond-Bold"/>
                <w:b/>
                <w:bCs/>
                <w:sz w:val="20"/>
                <w:szCs w:val="20"/>
              </w:rPr>
              <w:t>Additional Requirements for Facilities</w:t>
            </w:r>
            <w:r>
              <w:rPr>
                <w:rFonts w:ascii="Garamond" w:hAnsi="Garamond" w:cs="Garamond-Bold"/>
                <w:b/>
                <w:bCs/>
                <w:sz w:val="20"/>
                <w:szCs w:val="20"/>
              </w:rPr>
              <w:t xml:space="preserve"> (Section 8)</w:t>
            </w:r>
          </w:p>
          <w:p w:rsidR="00743B3D" w:rsidRPr="00C36A69" w:rsidRDefault="00743B3D" w:rsidP="00412F7E">
            <w:pPr>
              <w:autoSpaceDE w:val="0"/>
              <w:autoSpaceDN w:val="0"/>
              <w:adjustRightInd w:val="0"/>
              <w:rPr>
                <w:rFonts w:ascii="Garamond" w:hAnsi="Garamond" w:cs="Garamond"/>
                <w:sz w:val="20"/>
                <w:szCs w:val="20"/>
              </w:rPr>
            </w:pPr>
            <w:r w:rsidRPr="00C36A69">
              <w:rPr>
                <w:rFonts w:ascii="Garamond" w:hAnsi="Garamond" w:cs="Garamond-Italic"/>
                <w:i/>
                <w:iCs/>
                <w:sz w:val="20"/>
                <w:szCs w:val="20"/>
              </w:rPr>
              <w:t>Requires Medicare providers and entities to document plans made during the stay</w:t>
            </w:r>
            <w:r w:rsidRPr="00C36A69">
              <w:rPr>
                <w:rFonts w:ascii="Garamond" w:hAnsi="Garamond" w:cs="Garamond"/>
                <w:sz w:val="20"/>
                <w:szCs w:val="20"/>
              </w:rPr>
              <w:t>:</w:t>
            </w:r>
          </w:p>
          <w:p w:rsidR="00743B3D" w:rsidRPr="00C36A69" w:rsidRDefault="00743B3D" w:rsidP="00412F7E">
            <w:pPr>
              <w:autoSpaceDE w:val="0"/>
              <w:autoSpaceDN w:val="0"/>
              <w:adjustRightInd w:val="0"/>
              <w:rPr>
                <w:rFonts w:ascii="Garamond" w:hAnsi="Garamond" w:cs="Garamond-Bold"/>
                <w:b/>
                <w:bCs/>
                <w:sz w:val="20"/>
                <w:szCs w:val="20"/>
              </w:rPr>
            </w:pPr>
            <w:r w:rsidRPr="00A7285C">
              <w:rPr>
                <w:rFonts w:ascii="Garamond" w:hAnsi="Garamond" w:cs="Garamond"/>
                <w:sz w:val="20"/>
                <w:szCs w:val="20"/>
              </w:rPr>
              <w:t xml:space="preserve">Healthcare facilities must assure that care plans made while an individual receives care are </w:t>
            </w:r>
            <w:r>
              <w:rPr>
                <w:rFonts w:ascii="Garamond" w:hAnsi="Garamond" w:cs="Garamond"/>
                <w:sz w:val="20"/>
                <w:szCs w:val="20"/>
              </w:rPr>
              <w:t>a</w:t>
            </w:r>
            <w:r w:rsidRPr="00A7285C">
              <w:rPr>
                <w:rFonts w:ascii="Garamond" w:hAnsi="Garamond" w:cs="Garamond"/>
                <w:sz w:val="20"/>
                <w:szCs w:val="20"/>
              </w:rPr>
              <w:t>ppropriately documented prior to discharge and sent to appropriate providers and facilities upon discharge.</w:t>
            </w:r>
          </w:p>
        </w:tc>
        <w:tc>
          <w:tcPr>
            <w:tcW w:w="3192" w:type="dxa"/>
          </w:tcPr>
          <w:p w:rsidR="00743B3D" w:rsidRPr="00743B3D" w:rsidRDefault="00743B3D" w:rsidP="00412F7E">
            <w:pPr>
              <w:autoSpaceDE w:val="0"/>
              <w:autoSpaceDN w:val="0"/>
              <w:adjustRightInd w:val="0"/>
              <w:rPr>
                <w:rFonts w:ascii="Garamond" w:hAnsi="Garamond" w:cs="Garamond"/>
                <w:color w:val="000000"/>
                <w:sz w:val="20"/>
                <w:szCs w:val="20"/>
              </w:rPr>
            </w:pPr>
            <w:r w:rsidRPr="00743B3D">
              <w:rPr>
                <w:rFonts w:ascii="Garamond" w:hAnsi="Garamond" w:cs="Garamond"/>
                <w:b/>
                <w:bCs/>
                <w:color w:val="000000"/>
                <w:sz w:val="20"/>
                <w:szCs w:val="20"/>
              </w:rPr>
              <w:t xml:space="preserve">Additional Requirements for Facilities (Section 7) </w:t>
            </w:r>
          </w:p>
          <w:p w:rsidR="00743B3D" w:rsidRPr="00743B3D" w:rsidRDefault="00743B3D" w:rsidP="00412F7E">
            <w:pPr>
              <w:pStyle w:val="Default"/>
              <w:rPr>
                <w:rFonts w:ascii="Garamond" w:hAnsi="Garamond"/>
                <w:b/>
                <w:bCs/>
                <w:sz w:val="20"/>
                <w:szCs w:val="20"/>
              </w:rPr>
            </w:pPr>
            <w:r w:rsidRPr="00743B3D">
              <w:rPr>
                <w:rFonts w:ascii="Garamond" w:hAnsi="Garamond"/>
                <w:i/>
                <w:iCs/>
                <w:sz w:val="20"/>
                <w:szCs w:val="20"/>
              </w:rPr>
              <w:t>Requires Medicare providers and entities to document plans made during the stay</w:t>
            </w:r>
            <w:r w:rsidRPr="00743B3D">
              <w:rPr>
                <w:rFonts w:ascii="Garamond" w:hAnsi="Garamond"/>
                <w:sz w:val="20"/>
                <w:szCs w:val="20"/>
              </w:rPr>
              <w:t>: Healthcare facilities must assure that care plans made while an individual receives care are appropriately documented prior to discharge and sent to appropriate providers and facilities upon discharge.</w:t>
            </w:r>
          </w:p>
        </w:tc>
      </w:tr>
      <w:tr w:rsidR="00743B3D" w:rsidRPr="00A51FB7" w:rsidTr="00412F7E">
        <w:tc>
          <w:tcPr>
            <w:tcW w:w="3192" w:type="dxa"/>
          </w:tcPr>
          <w:p w:rsidR="00743B3D" w:rsidRPr="00A51FB7" w:rsidRDefault="00743B3D" w:rsidP="00412F7E">
            <w:pPr>
              <w:autoSpaceDE w:val="0"/>
              <w:autoSpaceDN w:val="0"/>
              <w:adjustRightInd w:val="0"/>
              <w:rPr>
                <w:rFonts w:ascii="Garamond" w:hAnsi="Garamond" w:cs="Garamond-Bold"/>
                <w:b/>
                <w:bCs/>
                <w:sz w:val="20"/>
                <w:szCs w:val="20"/>
              </w:rPr>
            </w:pPr>
            <w:r w:rsidRPr="00A51FB7">
              <w:rPr>
                <w:rFonts w:ascii="Garamond" w:hAnsi="Garamond" w:cs="Garamond-Bold"/>
                <w:b/>
                <w:bCs/>
                <w:sz w:val="20"/>
                <w:szCs w:val="20"/>
              </w:rPr>
              <w:t xml:space="preserve">Grants for Increasing Public </w:t>
            </w:r>
            <w:r w:rsidRPr="00A51FB7">
              <w:rPr>
                <w:rFonts w:ascii="Garamond" w:hAnsi="Garamond" w:cs="Garamond-Bold"/>
                <w:b/>
                <w:bCs/>
                <w:sz w:val="20"/>
                <w:szCs w:val="20"/>
              </w:rPr>
              <w:lastRenderedPageBreak/>
              <w:t>Awareness of Advance Care Planning and Advanced Illness Care</w:t>
            </w:r>
          </w:p>
          <w:p w:rsidR="00743B3D" w:rsidRPr="00A51FB7" w:rsidRDefault="00743B3D" w:rsidP="00412F7E">
            <w:pPr>
              <w:rPr>
                <w:rFonts w:ascii="Garamond" w:hAnsi="Garamond"/>
                <w:sz w:val="20"/>
                <w:szCs w:val="20"/>
              </w:rPr>
            </w:pPr>
          </w:p>
        </w:tc>
        <w:tc>
          <w:tcPr>
            <w:tcW w:w="3192" w:type="dxa"/>
          </w:tcPr>
          <w:p w:rsidR="00743B3D" w:rsidRPr="00A51FB7" w:rsidRDefault="00743B3D" w:rsidP="00412F7E">
            <w:pPr>
              <w:autoSpaceDE w:val="0"/>
              <w:autoSpaceDN w:val="0"/>
              <w:adjustRightInd w:val="0"/>
              <w:rPr>
                <w:rFonts w:ascii="Garamond" w:hAnsi="Garamond" w:cs="Garamond-Bold"/>
                <w:b/>
                <w:bCs/>
                <w:sz w:val="20"/>
                <w:szCs w:val="20"/>
              </w:rPr>
            </w:pPr>
            <w:r w:rsidRPr="00A51FB7">
              <w:rPr>
                <w:rFonts w:ascii="Garamond" w:hAnsi="Garamond" w:cs="Garamond-Bold"/>
                <w:b/>
                <w:bCs/>
                <w:sz w:val="20"/>
                <w:szCs w:val="20"/>
              </w:rPr>
              <w:lastRenderedPageBreak/>
              <w:t xml:space="preserve">Grants for Increasing Public </w:t>
            </w:r>
            <w:r w:rsidRPr="00A51FB7">
              <w:rPr>
                <w:rFonts w:ascii="Garamond" w:hAnsi="Garamond" w:cs="Garamond-Bold"/>
                <w:b/>
                <w:bCs/>
                <w:sz w:val="20"/>
                <w:szCs w:val="20"/>
              </w:rPr>
              <w:lastRenderedPageBreak/>
              <w:t xml:space="preserve">Awareness of Advance Care Planning and Advanced Illness Care </w:t>
            </w:r>
            <w:r>
              <w:rPr>
                <w:rFonts w:ascii="Garamond" w:hAnsi="Garamond" w:cs="Garamond-Bold"/>
                <w:b/>
                <w:bCs/>
                <w:sz w:val="20"/>
                <w:szCs w:val="20"/>
              </w:rPr>
              <w:t>(</w:t>
            </w:r>
            <w:r w:rsidRPr="00A51FB7">
              <w:rPr>
                <w:rFonts w:ascii="Garamond" w:hAnsi="Garamond" w:cs="Garamond-Bold"/>
                <w:b/>
                <w:bCs/>
                <w:sz w:val="20"/>
                <w:szCs w:val="20"/>
              </w:rPr>
              <w:t>Section 9</w:t>
            </w:r>
            <w:r>
              <w:rPr>
                <w:rFonts w:ascii="Garamond" w:hAnsi="Garamond" w:cs="Garamond-Bold"/>
                <w:b/>
                <w:bCs/>
                <w:sz w:val="20"/>
                <w:szCs w:val="20"/>
              </w:rPr>
              <w:t>)</w:t>
            </w:r>
          </w:p>
          <w:p w:rsidR="00743B3D" w:rsidRPr="00A51FB7" w:rsidRDefault="00743B3D" w:rsidP="00412F7E">
            <w:pPr>
              <w:autoSpaceDE w:val="0"/>
              <w:autoSpaceDN w:val="0"/>
              <w:adjustRightInd w:val="0"/>
              <w:rPr>
                <w:rFonts w:ascii="Garamond" w:hAnsi="Garamond" w:cs="Garamond"/>
                <w:sz w:val="20"/>
                <w:szCs w:val="20"/>
              </w:rPr>
            </w:pPr>
            <w:r w:rsidRPr="00A51FB7">
              <w:rPr>
                <w:rFonts w:ascii="Garamond" w:hAnsi="Garamond" w:cs="Garamond-Italic"/>
                <w:i/>
                <w:iCs/>
                <w:sz w:val="20"/>
                <w:szCs w:val="20"/>
              </w:rPr>
              <w:t>Appropriates $50 million and authorizes the Secretary to award grants, to</w:t>
            </w:r>
            <w:r w:rsidRPr="00A51FB7">
              <w:rPr>
                <w:rFonts w:ascii="Garamond" w:hAnsi="Garamond" w:cs="Garamond"/>
                <w:sz w:val="20"/>
                <w:szCs w:val="20"/>
              </w:rPr>
              <w:t>:</w:t>
            </w:r>
          </w:p>
          <w:p w:rsidR="00743B3D" w:rsidRPr="00A7285C" w:rsidRDefault="00743B3D" w:rsidP="00743B3D">
            <w:pPr>
              <w:pStyle w:val="ListParagraph"/>
              <w:numPr>
                <w:ilvl w:val="0"/>
                <w:numId w:val="8"/>
              </w:numPr>
              <w:autoSpaceDE w:val="0"/>
              <w:autoSpaceDN w:val="0"/>
              <w:adjustRightInd w:val="0"/>
              <w:spacing w:after="0" w:line="240" w:lineRule="auto"/>
              <w:rPr>
                <w:rFonts w:ascii="Garamond" w:hAnsi="Garamond" w:cs="Garamond"/>
                <w:sz w:val="20"/>
                <w:szCs w:val="20"/>
              </w:rPr>
            </w:pPr>
            <w:r w:rsidRPr="00A7285C">
              <w:rPr>
                <w:rFonts w:ascii="Garamond" w:hAnsi="Garamond" w:cs="Garamond"/>
                <w:sz w:val="20"/>
                <w:szCs w:val="20"/>
              </w:rPr>
              <w:t>Develop materials and resources addressing advance care planning for healthy individuals, the elements of care planning for individuals with advanced illness, the role and effective use of advance directives and portable treatment orders, the range of services designed for individuals facing advanced illness, and for training and professional development for clinicians who care for people with advanced serious illness;</w:t>
            </w:r>
          </w:p>
          <w:p w:rsidR="00743B3D" w:rsidRPr="00A7285C" w:rsidRDefault="00743B3D" w:rsidP="00743B3D">
            <w:pPr>
              <w:pStyle w:val="ListParagraph"/>
              <w:numPr>
                <w:ilvl w:val="0"/>
                <w:numId w:val="8"/>
              </w:numPr>
              <w:autoSpaceDE w:val="0"/>
              <w:autoSpaceDN w:val="0"/>
              <w:adjustRightInd w:val="0"/>
              <w:spacing w:after="0" w:line="240" w:lineRule="auto"/>
              <w:rPr>
                <w:rFonts w:ascii="Garamond" w:hAnsi="Garamond" w:cs="Garamond"/>
                <w:sz w:val="20"/>
                <w:szCs w:val="20"/>
              </w:rPr>
            </w:pPr>
            <w:r w:rsidRPr="00A7285C">
              <w:rPr>
                <w:rFonts w:ascii="Garamond" w:hAnsi="Garamond" w:cs="Garamond"/>
                <w:sz w:val="20"/>
                <w:szCs w:val="20"/>
              </w:rPr>
              <w:t>Establish and maintain web- and phone-based resources to disseminate resources and materials;</w:t>
            </w:r>
          </w:p>
          <w:p w:rsidR="00743B3D" w:rsidRPr="00A7285C" w:rsidRDefault="00743B3D" w:rsidP="00743B3D">
            <w:pPr>
              <w:pStyle w:val="ListParagraph"/>
              <w:numPr>
                <w:ilvl w:val="0"/>
                <w:numId w:val="8"/>
              </w:numPr>
              <w:autoSpaceDE w:val="0"/>
              <w:autoSpaceDN w:val="0"/>
              <w:adjustRightInd w:val="0"/>
              <w:spacing w:after="0" w:line="240" w:lineRule="auto"/>
              <w:rPr>
                <w:rFonts w:ascii="Garamond" w:hAnsi="Garamond" w:cs="Garamond"/>
                <w:sz w:val="20"/>
                <w:szCs w:val="20"/>
              </w:rPr>
            </w:pPr>
            <w:r w:rsidRPr="00A7285C">
              <w:rPr>
                <w:rFonts w:ascii="Garamond" w:hAnsi="Garamond" w:cs="Garamond"/>
                <w:sz w:val="20"/>
                <w:szCs w:val="20"/>
              </w:rPr>
              <w:t>Conduct a national public educational campaign;</w:t>
            </w:r>
          </w:p>
          <w:p w:rsidR="00743B3D" w:rsidRPr="00A51FB7" w:rsidRDefault="00743B3D" w:rsidP="00743B3D">
            <w:pPr>
              <w:pStyle w:val="ListParagraph"/>
              <w:numPr>
                <w:ilvl w:val="0"/>
                <w:numId w:val="8"/>
              </w:numPr>
              <w:autoSpaceDE w:val="0"/>
              <w:autoSpaceDN w:val="0"/>
              <w:adjustRightInd w:val="0"/>
              <w:spacing w:after="0" w:line="240" w:lineRule="auto"/>
              <w:rPr>
                <w:rFonts w:ascii="Garamond" w:hAnsi="Garamond"/>
                <w:sz w:val="20"/>
                <w:szCs w:val="20"/>
              </w:rPr>
            </w:pPr>
            <w:r w:rsidRPr="00E14B65">
              <w:rPr>
                <w:rFonts w:ascii="Garamond" w:hAnsi="Garamond" w:cs="Garamond"/>
                <w:sz w:val="20"/>
                <w:szCs w:val="20"/>
              </w:rPr>
              <w:t>Establish, develop, and expand programs for life sustaining treatment (POLST) and similar programs, which help seriously ill patients identify their treatment preferences using a clear, standardized template.</w:t>
            </w:r>
          </w:p>
        </w:tc>
        <w:tc>
          <w:tcPr>
            <w:tcW w:w="3192" w:type="dxa"/>
          </w:tcPr>
          <w:p w:rsidR="00743B3D" w:rsidRPr="00743B3D" w:rsidRDefault="00743B3D" w:rsidP="00412F7E">
            <w:pPr>
              <w:pStyle w:val="Default"/>
              <w:rPr>
                <w:rFonts w:ascii="Garamond" w:hAnsi="Garamond"/>
                <w:sz w:val="20"/>
                <w:szCs w:val="20"/>
              </w:rPr>
            </w:pPr>
            <w:r w:rsidRPr="00743B3D">
              <w:rPr>
                <w:rFonts w:ascii="Garamond" w:hAnsi="Garamond"/>
                <w:b/>
                <w:bCs/>
                <w:sz w:val="20"/>
                <w:szCs w:val="20"/>
              </w:rPr>
              <w:lastRenderedPageBreak/>
              <w:t xml:space="preserve">Grants for Increasing Public </w:t>
            </w:r>
            <w:r w:rsidRPr="00743B3D">
              <w:rPr>
                <w:rFonts w:ascii="Garamond" w:hAnsi="Garamond"/>
                <w:b/>
                <w:bCs/>
                <w:sz w:val="20"/>
                <w:szCs w:val="20"/>
              </w:rPr>
              <w:lastRenderedPageBreak/>
              <w:t xml:space="preserve">Awareness of Advance Care Planning and Advanced Illness Care (Section 8) </w:t>
            </w:r>
          </w:p>
          <w:p w:rsidR="00743B3D" w:rsidRPr="00743B3D" w:rsidRDefault="00743B3D" w:rsidP="00412F7E">
            <w:pPr>
              <w:pStyle w:val="Default"/>
              <w:rPr>
                <w:rFonts w:ascii="Garamond" w:hAnsi="Garamond"/>
                <w:sz w:val="20"/>
                <w:szCs w:val="20"/>
              </w:rPr>
            </w:pPr>
            <w:r w:rsidRPr="00743B3D">
              <w:rPr>
                <w:rFonts w:ascii="Garamond" w:hAnsi="Garamond"/>
                <w:i/>
                <w:iCs/>
                <w:sz w:val="20"/>
                <w:szCs w:val="20"/>
              </w:rPr>
              <w:t>Appropriates $15 million and authorizes the Secretary to award grants to public or private entities, to</w:t>
            </w:r>
            <w:r w:rsidRPr="00743B3D">
              <w:rPr>
                <w:rFonts w:ascii="Garamond" w:hAnsi="Garamond"/>
                <w:sz w:val="20"/>
                <w:szCs w:val="20"/>
              </w:rPr>
              <w:t xml:space="preserve">: </w:t>
            </w:r>
          </w:p>
          <w:p w:rsidR="00743B3D" w:rsidRPr="00743B3D" w:rsidRDefault="00743B3D" w:rsidP="00743B3D">
            <w:pPr>
              <w:pStyle w:val="Default"/>
              <w:numPr>
                <w:ilvl w:val="0"/>
                <w:numId w:val="9"/>
              </w:numPr>
              <w:spacing w:after="37"/>
              <w:rPr>
                <w:rFonts w:ascii="Garamond" w:hAnsi="Garamond"/>
                <w:sz w:val="20"/>
                <w:szCs w:val="20"/>
              </w:rPr>
            </w:pPr>
            <w:r w:rsidRPr="00743B3D">
              <w:rPr>
                <w:rFonts w:ascii="Garamond" w:hAnsi="Garamond"/>
                <w:sz w:val="20"/>
                <w:szCs w:val="20"/>
              </w:rPr>
              <w:t xml:space="preserve">Develop materials and resources addressing advance care planning for healthy individuals, the elements of care planning for individuals with advanced illness, the role and effective use of advance directives and portable treatment orders, or the range of services designed for individuals facing advanced illness; </w:t>
            </w:r>
          </w:p>
          <w:p w:rsidR="00743B3D" w:rsidRPr="00743B3D" w:rsidRDefault="00743B3D" w:rsidP="00743B3D">
            <w:pPr>
              <w:pStyle w:val="Default"/>
              <w:numPr>
                <w:ilvl w:val="0"/>
                <w:numId w:val="9"/>
              </w:numPr>
              <w:spacing w:after="37"/>
              <w:rPr>
                <w:rFonts w:ascii="Garamond" w:hAnsi="Garamond"/>
                <w:sz w:val="20"/>
                <w:szCs w:val="20"/>
              </w:rPr>
            </w:pPr>
            <w:r w:rsidRPr="00743B3D">
              <w:rPr>
                <w:rFonts w:ascii="Garamond" w:hAnsi="Garamond"/>
                <w:sz w:val="20"/>
                <w:szCs w:val="20"/>
              </w:rPr>
              <w:t xml:space="preserve">Establish and maintain web- and phone-based resources to disseminate resources and materials; </w:t>
            </w:r>
          </w:p>
          <w:p w:rsidR="00743B3D" w:rsidRPr="00743B3D" w:rsidRDefault="00743B3D" w:rsidP="00743B3D">
            <w:pPr>
              <w:pStyle w:val="Default"/>
              <w:numPr>
                <w:ilvl w:val="0"/>
                <w:numId w:val="9"/>
              </w:numPr>
              <w:rPr>
                <w:rFonts w:ascii="Garamond" w:hAnsi="Garamond"/>
                <w:sz w:val="20"/>
                <w:szCs w:val="20"/>
              </w:rPr>
            </w:pPr>
            <w:r w:rsidRPr="00743B3D">
              <w:rPr>
                <w:rFonts w:ascii="Garamond" w:hAnsi="Garamond"/>
                <w:sz w:val="20"/>
                <w:szCs w:val="20"/>
              </w:rPr>
              <w:t xml:space="preserve">Conduct a national public educational campaign </w:t>
            </w:r>
          </w:p>
          <w:p w:rsidR="00743B3D" w:rsidRPr="00743B3D" w:rsidRDefault="00743B3D" w:rsidP="00412F7E">
            <w:pPr>
              <w:rPr>
                <w:rFonts w:ascii="Garamond" w:hAnsi="Garamond"/>
                <w:sz w:val="20"/>
                <w:szCs w:val="20"/>
              </w:rPr>
            </w:pPr>
          </w:p>
        </w:tc>
      </w:tr>
      <w:tr w:rsidR="00743B3D" w:rsidRPr="00A51FB7" w:rsidTr="00412F7E">
        <w:tc>
          <w:tcPr>
            <w:tcW w:w="3192" w:type="dxa"/>
          </w:tcPr>
          <w:p w:rsidR="00743B3D" w:rsidRPr="00E14B65" w:rsidRDefault="00743B3D" w:rsidP="00412F7E">
            <w:pPr>
              <w:rPr>
                <w:rFonts w:ascii="Garamond" w:hAnsi="Garamond"/>
                <w:b/>
                <w:sz w:val="20"/>
                <w:szCs w:val="20"/>
              </w:rPr>
            </w:pPr>
            <w:r w:rsidRPr="00E14B65">
              <w:rPr>
                <w:rFonts w:ascii="Garamond" w:hAnsi="Garamond"/>
                <w:b/>
                <w:sz w:val="20"/>
                <w:szCs w:val="20"/>
              </w:rPr>
              <w:lastRenderedPageBreak/>
              <w:t>Advance Care Planning Advisory Council</w:t>
            </w:r>
          </w:p>
        </w:tc>
        <w:tc>
          <w:tcPr>
            <w:tcW w:w="3192" w:type="dxa"/>
          </w:tcPr>
          <w:p w:rsidR="00743B3D" w:rsidRPr="00E14B65" w:rsidRDefault="00743B3D" w:rsidP="00412F7E">
            <w:pPr>
              <w:autoSpaceDE w:val="0"/>
              <w:autoSpaceDN w:val="0"/>
              <w:adjustRightInd w:val="0"/>
              <w:rPr>
                <w:rFonts w:ascii="Garamond" w:hAnsi="Garamond" w:cs="Garamond-Bold"/>
                <w:b/>
                <w:bCs/>
                <w:sz w:val="20"/>
                <w:szCs w:val="20"/>
              </w:rPr>
            </w:pPr>
            <w:r w:rsidRPr="00E14B65">
              <w:rPr>
                <w:rFonts w:ascii="Garamond" w:hAnsi="Garamond" w:cs="Garamond-Bold"/>
                <w:b/>
                <w:bCs/>
                <w:sz w:val="20"/>
                <w:szCs w:val="20"/>
              </w:rPr>
              <w:t>Advance Care Planning Advisory Council</w:t>
            </w:r>
            <w:r>
              <w:rPr>
                <w:rFonts w:ascii="Garamond" w:hAnsi="Garamond" w:cs="Garamond-Bold"/>
                <w:b/>
                <w:bCs/>
                <w:sz w:val="20"/>
                <w:szCs w:val="20"/>
              </w:rPr>
              <w:t xml:space="preserve"> (Section 10)</w:t>
            </w:r>
          </w:p>
          <w:p w:rsidR="00743B3D" w:rsidRPr="00743B3D" w:rsidRDefault="00743B3D" w:rsidP="00743B3D">
            <w:pPr>
              <w:autoSpaceDE w:val="0"/>
              <w:autoSpaceDN w:val="0"/>
              <w:adjustRightInd w:val="0"/>
              <w:rPr>
                <w:rFonts w:ascii="Garamond" w:hAnsi="Garamond" w:cs="Garamond-Bold"/>
                <w:b/>
                <w:bCs/>
                <w:i/>
                <w:sz w:val="20"/>
                <w:szCs w:val="20"/>
              </w:rPr>
            </w:pPr>
            <w:r w:rsidRPr="00743B3D">
              <w:rPr>
                <w:rFonts w:ascii="Garamond" w:hAnsi="Garamond" w:cs="Garamond"/>
                <w:i/>
                <w:sz w:val="20"/>
                <w:szCs w:val="20"/>
              </w:rPr>
              <w:t>Establishes an Advisory Council to advise the Secretary on issues of advanced and terminal illness.</w:t>
            </w:r>
          </w:p>
        </w:tc>
        <w:tc>
          <w:tcPr>
            <w:tcW w:w="3192" w:type="dxa"/>
          </w:tcPr>
          <w:p w:rsidR="00743B3D" w:rsidRPr="00A51FB7" w:rsidRDefault="00743B3D" w:rsidP="00412F7E">
            <w:pPr>
              <w:pStyle w:val="Default"/>
              <w:rPr>
                <w:b/>
                <w:bCs/>
                <w:sz w:val="20"/>
                <w:szCs w:val="20"/>
              </w:rPr>
            </w:pPr>
          </w:p>
        </w:tc>
      </w:tr>
      <w:tr w:rsidR="00743B3D" w:rsidRPr="00A51FB7" w:rsidTr="00412F7E">
        <w:tc>
          <w:tcPr>
            <w:tcW w:w="3192" w:type="dxa"/>
          </w:tcPr>
          <w:p w:rsidR="00743B3D" w:rsidRPr="00E14B65" w:rsidRDefault="00743B3D" w:rsidP="00412F7E">
            <w:pPr>
              <w:rPr>
                <w:rFonts w:ascii="Garamond" w:hAnsi="Garamond"/>
                <w:b/>
                <w:sz w:val="20"/>
                <w:szCs w:val="20"/>
              </w:rPr>
            </w:pPr>
            <w:r>
              <w:rPr>
                <w:rFonts w:ascii="Garamond" w:hAnsi="Garamond"/>
                <w:b/>
                <w:sz w:val="20"/>
                <w:szCs w:val="20"/>
              </w:rPr>
              <w:t>Annual Report on Medicare Decedents</w:t>
            </w:r>
          </w:p>
        </w:tc>
        <w:tc>
          <w:tcPr>
            <w:tcW w:w="3192" w:type="dxa"/>
          </w:tcPr>
          <w:p w:rsidR="00743B3D" w:rsidRPr="00E14B65" w:rsidRDefault="00743B3D" w:rsidP="00412F7E">
            <w:pPr>
              <w:autoSpaceDE w:val="0"/>
              <w:autoSpaceDN w:val="0"/>
              <w:adjustRightInd w:val="0"/>
              <w:rPr>
                <w:rFonts w:ascii="Garamond" w:hAnsi="Garamond" w:cs="Garamond-Bold"/>
                <w:b/>
                <w:bCs/>
                <w:sz w:val="20"/>
                <w:szCs w:val="20"/>
              </w:rPr>
            </w:pPr>
            <w:r w:rsidRPr="00E14B65">
              <w:rPr>
                <w:rFonts w:ascii="Garamond" w:hAnsi="Garamond" w:cs="Garamond-Bold"/>
                <w:b/>
                <w:bCs/>
                <w:sz w:val="20"/>
                <w:szCs w:val="20"/>
              </w:rPr>
              <w:t>Annual report on Medicare decedents</w:t>
            </w:r>
            <w:r>
              <w:rPr>
                <w:rFonts w:ascii="Garamond" w:hAnsi="Garamond" w:cs="Garamond-Bold"/>
                <w:b/>
                <w:bCs/>
                <w:sz w:val="20"/>
                <w:szCs w:val="20"/>
              </w:rPr>
              <w:t xml:space="preserve"> (Section 11)</w:t>
            </w:r>
          </w:p>
          <w:p w:rsidR="00743B3D" w:rsidRPr="00E14B65" w:rsidRDefault="00743B3D" w:rsidP="00412F7E">
            <w:pPr>
              <w:autoSpaceDE w:val="0"/>
              <w:autoSpaceDN w:val="0"/>
              <w:adjustRightInd w:val="0"/>
              <w:rPr>
                <w:rFonts w:ascii="Garamond" w:hAnsi="Garamond" w:cs="Garamond"/>
                <w:sz w:val="20"/>
                <w:szCs w:val="20"/>
              </w:rPr>
            </w:pPr>
            <w:r w:rsidRPr="00743B3D">
              <w:rPr>
                <w:rFonts w:ascii="Garamond" w:hAnsi="Garamond" w:cs="Garamond"/>
                <w:i/>
                <w:sz w:val="20"/>
                <w:szCs w:val="20"/>
              </w:rPr>
              <w:t>Requires the Secretary to issue an annual report,</w:t>
            </w:r>
            <w:r w:rsidRPr="00E14B65">
              <w:rPr>
                <w:rFonts w:ascii="Garamond" w:hAnsi="Garamond" w:cs="Garamond"/>
                <w:sz w:val="20"/>
                <w:szCs w:val="20"/>
              </w:rPr>
              <w:t xml:space="preserve"> to:</w:t>
            </w:r>
          </w:p>
          <w:p w:rsidR="00743B3D" w:rsidRPr="00E14B65" w:rsidRDefault="00743B3D" w:rsidP="00412F7E">
            <w:pPr>
              <w:autoSpaceDE w:val="0"/>
              <w:autoSpaceDN w:val="0"/>
              <w:adjustRightInd w:val="0"/>
              <w:rPr>
                <w:rFonts w:ascii="Garamond" w:hAnsi="Garamond" w:cs="Garamond"/>
                <w:sz w:val="20"/>
                <w:szCs w:val="20"/>
              </w:rPr>
            </w:pPr>
            <w:r w:rsidRPr="00E14B65">
              <w:rPr>
                <w:rFonts w:ascii="Garamond" w:hAnsi="Garamond" w:cs="Symbol"/>
                <w:sz w:val="20"/>
                <w:szCs w:val="20"/>
              </w:rPr>
              <w:t xml:space="preserve">• </w:t>
            </w:r>
            <w:r w:rsidRPr="00E14B65">
              <w:rPr>
                <w:rFonts w:ascii="Garamond" w:hAnsi="Garamond" w:cs="Garamond"/>
                <w:sz w:val="20"/>
                <w:szCs w:val="20"/>
              </w:rPr>
              <w:t>Analyze the care or payer settings at the time of death;</w:t>
            </w:r>
          </w:p>
          <w:p w:rsidR="00743B3D" w:rsidRPr="00E14B65" w:rsidRDefault="00743B3D" w:rsidP="00412F7E">
            <w:pPr>
              <w:autoSpaceDE w:val="0"/>
              <w:autoSpaceDN w:val="0"/>
              <w:adjustRightInd w:val="0"/>
              <w:rPr>
                <w:rFonts w:ascii="Garamond" w:hAnsi="Garamond" w:cs="Garamond"/>
                <w:sz w:val="20"/>
                <w:szCs w:val="20"/>
              </w:rPr>
            </w:pPr>
            <w:r w:rsidRPr="00E14B65">
              <w:rPr>
                <w:rFonts w:ascii="Garamond" w:hAnsi="Garamond" w:cs="Symbol"/>
                <w:sz w:val="20"/>
                <w:szCs w:val="20"/>
              </w:rPr>
              <w:t xml:space="preserve">• </w:t>
            </w:r>
            <w:r w:rsidRPr="00E14B65">
              <w:rPr>
                <w:rFonts w:ascii="Garamond" w:hAnsi="Garamond" w:cs="Garamond"/>
                <w:sz w:val="20"/>
                <w:szCs w:val="20"/>
              </w:rPr>
              <w:t>Analyze the demographics and geographic information of Medicare decedents;</w:t>
            </w:r>
          </w:p>
          <w:p w:rsidR="00743B3D" w:rsidRPr="00E14B65" w:rsidRDefault="00743B3D" w:rsidP="00412F7E">
            <w:pPr>
              <w:autoSpaceDE w:val="0"/>
              <w:autoSpaceDN w:val="0"/>
              <w:adjustRightInd w:val="0"/>
              <w:rPr>
                <w:rFonts w:ascii="Garamond" w:hAnsi="Garamond" w:cs="Garamond-Bold"/>
                <w:b/>
                <w:bCs/>
                <w:sz w:val="20"/>
                <w:szCs w:val="20"/>
              </w:rPr>
            </w:pPr>
            <w:r w:rsidRPr="00E14B65">
              <w:rPr>
                <w:rFonts w:ascii="Garamond" w:hAnsi="Garamond" w:cs="Symbol"/>
                <w:sz w:val="20"/>
                <w:szCs w:val="20"/>
              </w:rPr>
              <w:t xml:space="preserve">• </w:t>
            </w:r>
            <w:r w:rsidRPr="00E14B65">
              <w:rPr>
                <w:rFonts w:ascii="Garamond" w:hAnsi="Garamond" w:cs="Garamond"/>
                <w:sz w:val="20"/>
                <w:szCs w:val="20"/>
              </w:rPr>
              <w:t>Evaluate Medicare claims data for services furnished in the last year of life.</w:t>
            </w:r>
          </w:p>
        </w:tc>
        <w:tc>
          <w:tcPr>
            <w:tcW w:w="3192" w:type="dxa"/>
          </w:tcPr>
          <w:p w:rsidR="00743B3D" w:rsidRPr="00A51FB7" w:rsidRDefault="00743B3D" w:rsidP="00412F7E">
            <w:pPr>
              <w:pStyle w:val="Default"/>
              <w:rPr>
                <w:b/>
                <w:bCs/>
                <w:sz w:val="20"/>
                <w:szCs w:val="20"/>
              </w:rPr>
            </w:pPr>
          </w:p>
        </w:tc>
      </w:tr>
      <w:tr w:rsidR="00743B3D" w:rsidRPr="00A51FB7" w:rsidTr="00412F7E">
        <w:tc>
          <w:tcPr>
            <w:tcW w:w="3192" w:type="dxa"/>
          </w:tcPr>
          <w:p w:rsidR="00743B3D" w:rsidRPr="00C36A69" w:rsidRDefault="00743B3D" w:rsidP="00412F7E">
            <w:pPr>
              <w:rPr>
                <w:rFonts w:ascii="Garamond" w:hAnsi="Garamond"/>
                <w:b/>
                <w:sz w:val="20"/>
                <w:szCs w:val="20"/>
              </w:rPr>
            </w:pPr>
            <w:r w:rsidRPr="00C36A69">
              <w:rPr>
                <w:rFonts w:ascii="Garamond" w:hAnsi="Garamond"/>
                <w:b/>
                <w:sz w:val="20"/>
                <w:szCs w:val="20"/>
              </w:rPr>
              <w:t>Rules of Construction</w:t>
            </w:r>
          </w:p>
        </w:tc>
        <w:tc>
          <w:tcPr>
            <w:tcW w:w="3192" w:type="dxa"/>
          </w:tcPr>
          <w:p w:rsidR="00743B3D" w:rsidRPr="00A51FB7" w:rsidRDefault="00743B3D" w:rsidP="00412F7E">
            <w:pPr>
              <w:autoSpaceDE w:val="0"/>
              <w:autoSpaceDN w:val="0"/>
              <w:adjustRightInd w:val="0"/>
              <w:rPr>
                <w:rFonts w:ascii="Garamond" w:hAnsi="Garamond" w:cs="Garamond-Bold"/>
                <w:b/>
                <w:bCs/>
                <w:sz w:val="20"/>
                <w:szCs w:val="20"/>
              </w:rPr>
            </w:pPr>
            <w:r w:rsidRPr="00A51FB7">
              <w:rPr>
                <w:rFonts w:ascii="Garamond" w:hAnsi="Garamond" w:cs="Garamond-Bold"/>
                <w:b/>
                <w:bCs/>
                <w:sz w:val="20"/>
                <w:szCs w:val="20"/>
              </w:rPr>
              <w:t>Rule of Construction</w:t>
            </w:r>
            <w:r>
              <w:rPr>
                <w:rFonts w:ascii="Garamond" w:hAnsi="Garamond" w:cs="Garamond-Bold"/>
                <w:b/>
                <w:bCs/>
                <w:sz w:val="20"/>
                <w:szCs w:val="20"/>
              </w:rPr>
              <w:t xml:space="preserve"> (Section 12)</w:t>
            </w:r>
          </w:p>
          <w:p w:rsidR="00743B3D" w:rsidRPr="00743B3D" w:rsidRDefault="00743B3D" w:rsidP="00412F7E">
            <w:pPr>
              <w:rPr>
                <w:rFonts w:ascii="Garamond" w:hAnsi="Garamond"/>
                <w:i/>
                <w:sz w:val="20"/>
                <w:szCs w:val="20"/>
              </w:rPr>
            </w:pPr>
            <w:r w:rsidRPr="00743B3D">
              <w:rPr>
                <w:rFonts w:ascii="Garamond" w:hAnsi="Garamond" w:cs="Garamond-Italic"/>
                <w:i/>
                <w:iCs/>
                <w:sz w:val="20"/>
                <w:szCs w:val="20"/>
              </w:rPr>
              <w:t>Establishes that this Act shall not be construed to limit restrictions of the Assisted Suicide Funding Restriction Act of 1997.</w:t>
            </w:r>
          </w:p>
        </w:tc>
        <w:tc>
          <w:tcPr>
            <w:tcW w:w="3192" w:type="dxa"/>
          </w:tcPr>
          <w:p w:rsidR="00743B3D" w:rsidRPr="00743B3D" w:rsidRDefault="00743B3D" w:rsidP="00412F7E">
            <w:pPr>
              <w:pStyle w:val="Default"/>
              <w:rPr>
                <w:rFonts w:ascii="Garamond" w:hAnsi="Garamond"/>
                <w:sz w:val="20"/>
                <w:szCs w:val="20"/>
              </w:rPr>
            </w:pPr>
            <w:r w:rsidRPr="00743B3D">
              <w:rPr>
                <w:rFonts w:ascii="Garamond" w:hAnsi="Garamond"/>
                <w:b/>
                <w:bCs/>
                <w:sz w:val="20"/>
                <w:szCs w:val="20"/>
              </w:rPr>
              <w:t>Rule of Construction (Section 9)</w:t>
            </w:r>
          </w:p>
          <w:p w:rsidR="00743B3D" w:rsidRPr="00743B3D" w:rsidRDefault="00743B3D" w:rsidP="00412F7E">
            <w:pPr>
              <w:rPr>
                <w:rFonts w:ascii="Garamond" w:hAnsi="Garamond"/>
                <w:i/>
                <w:sz w:val="20"/>
                <w:szCs w:val="20"/>
              </w:rPr>
            </w:pPr>
            <w:r w:rsidRPr="00743B3D">
              <w:rPr>
                <w:rFonts w:ascii="Garamond" w:hAnsi="Garamond"/>
                <w:i/>
                <w:iCs/>
                <w:sz w:val="20"/>
                <w:szCs w:val="20"/>
              </w:rPr>
              <w:t>Establishes that this Act shall not be construed to limit restrictions of the Assisted Suicide Funding Restriction Act of 1997.</w:t>
            </w:r>
          </w:p>
        </w:tc>
      </w:tr>
    </w:tbl>
    <w:p w:rsidR="00743B3D" w:rsidRPr="00A51FB7" w:rsidRDefault="00743B3D" w:rsidP="00743B3D">
      <w:pPr>
        <w:rPr>
          <w:rFonts w:ascii="Garamond" w:hAnsi="Garamond"/>
          <w:sz w:val="20"/>
          <w:szCs w:val="20"/>
        </w:rPr>
      </w:pPr>
    </w:p>
    <w:p w:rsidR="00743B3D" w:rsidRPr="003F2285" w:rsidRDefault="00743B3D" w:rsidP="00EC635B">
      <w:pPr>
        <w:rPr>
          <w:rFonts w:ascii="Tahoma" w:hAnsi="Tahoma" w:cs="Tahoma"/>
        </w:rPr>
      </w:pPr>
    </w:p>
    <w:sectPr w:rsidR="00743B3D" w:rsidRPr="003F2285" w:rsidSect="00052418">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swiss"/>
    <w:notTrueType/>
    <w:pitch w:val="default"/>
    <w:sig w:usb0="00000003" w:usb1="00000000" w:usb2="00000000" w:usb3="00000000" w:csb0="00000001" w:csb1="00000000"/>
  </w:font>
  <w:font w:name="Garamon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50C"/>
    <w:multiLevelType w:val="hybridMultilevel"/>
    <w:tmpl w:val="48485E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42484"/>
    <w:multiLevelType w:val="hybridMultilevel"/>
    <w:tmpl w:val="48C63F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84A1A"/>
    <w:multiLevelType w:val="hybridMultilevel"/>
    <w:tmpl w:val="0370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320B85"/>
    <w:multiLevelType w:val="hybridMultilevel"/>
    <w:tmpl w:val="62CE0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61A3B"/>
    <w:multiLevelType w:val="hybridMultilevel"/>
    <w:tmpl w:val="10C8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07438"/>
    <w:multiLevelType w:val="hybridMultilevel"/>
    <w:tmpl w:val="9E8041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6C510E"/>
    <w:multiLevelType w:val="hybridMultilevel"/>
    <w:tmpl w:val="562A1C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C370A2"/>
    <w:multiLevelType w:val="hybridMultilevel"/>
    <w:tmpl w:val="9FEA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CE7BBA"/>
    <w:multiLevelType w:val="hybridMultilevel"/>
    <w:tmpl w:val="A8CC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2"/>
  </w:num>
  <w:num w:numId="5">
    <w:abstractNumId w:val="6"/>
  </w:num>
  <w:num w:numId="6">
    <w:abstractNumId w:val="5"/>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35B"/>
    <w:rsid w:val="00052418"/>
    <w:rsid w:val="000E31EB"/>
    <w:rsid w:val="001F5C11"/>
    <w:rsid w:val="00206D12"/>
    <w:rsid w:val="0027423D"/>
    <w:rsid w:val="002B15A7"/>
    <w:rsid w:val="002C5DEE"/>
    <w:rsid w:val="002F4CA7"/>
    <w:rsid w:val="003156BB"/>
    <w:rsid w:val="00342906"/>
    <w:rsid w:val="003F2285"/>
    <w:rsid w:val="00446FB7"/>
    <w:rsid w:val="0045348D"/>
    <w:rsid w:val="005D2784"/>
    <w:rsid w:val="00672FC2"/>
    <w:rsid w:val="007403A3"/>
    <w:rsid w:val="00743B3D"/>
    <w:rsid w:val="007A71B3"/>
    <w:rsid w:val="00842CB7"/>
    <w:rsid w:val="008647A6"/>
    <w:rsid w:val="008C0B33"/>
    <w:rsid w:val="008C53A5"/>
    <w:rsid w:val="00901640"/>
    <w:rsid w:val="00976014"/>
    <w:rsid w:val="00AA70CE"/>
    <w:rsid w:val="00B03B07"/>
    <w:rsid w:val="00B37A0E"/>
    <w:rsid w:val="00C27113"/>
    <w:rsid w:val="00DE249C"/>
    <w:rsid w:val="00E83882"/>
    <w:rsid w:val="00EC635B"/>
    <w:rsid w:val="00F56B08"/>
    <w:rsid w:val="00FF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B"/>
    <w:pPr>
      <w:spacing w:after="0" w:line="240" w:lineRule="auto"/>
    </w:pPr>
    <w:rPr>
      <w:rFonts w:eastAsiaTheme="minorEastAsia"/>
      <w:sz w:val="24"/>
      <w:szCs w:val="24"/>
    </w:rPr>
  </w:style>
  <w:style w:type="paragraph" w:styleId="Heading1">
    <w:name w:val="heading 1"/>
    <w:basedOn w:val="Normal"/>
    <w:link w:val="Heading1Char"/>
    <w:uiPriority w:val="9"/>
    <w:qFormat/>
    <w:rsid w:val="00EC635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635B"/>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C635B"/>
    <w:rPr>
      <w:color w:val="0563C1" w:themeColor="hyperlink"/>
      <w:u w:val="single"/>
    </w:rPr>
  </w:style>
  <w:style w:type="character" w:customStyle="1" w:styleId="UnresolvedMention1">
    <w:name w:val="Unresolved Mention1"/>
    <w:basedOn w:val="DefaultParagraphFont"/>
    <w:uiPriority w:val="99"/>
    <w:semiHidden/>
    <w:unhideWhenUsed/>
    <w:rsid w:val="00EC635B"/>
    <w:rPr>
      <w:color w:val="808080"/>
      <w:shd w:val="clear" w:color="auto" w:fill="E6E6E6"/>
    </w:rPr>
  </w:style>
  <w:style w:type="character" w:styleId="FollowedHyperlink">
    <w:name w:val="FollowedHyperlink"/>
    <w:basedOn w:val="DefaultParagraphFont"/>
    <w:uiPriority w:val="99"/>
    <w:semiHidden/>
    <w:unhideWhenUsed/>
    <w:rsid w:val="00EC635B"/>
    <w:rPr>
      <w:color w:val="954F72" w:themeColor="followedHyperlink"/>
      <w:u w:val="single"/>
    </w:rPr>
  </w:style>
  <w:style w:type="character" w:customStyle="1" w:styleId="Heading1Char">
    <w:name w:val="Heading 1 Char"/>
    <w:basedOn w:val="DefaultParagraphFont"/>
    <w:link w:val="Heading1"/>
    <w:uiPriority w:val="9"/>
    <w:rsid w:val="00EC635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C635B"/>
    <w:rPr>
      <w:rFonts w:ascii="Calibri" w:eastAsiaTheme="minorHAnsi" w:hAnsi="Calibri" w:cs="Calibri"/>
      <w:sz w:val="22"/>
      <w:szCs w:val="22"/>
    </w:rPr>
  </w:style>
  <w:style w:type="paragraph" w:customStyle="1" w:styleId="Default">
    <w:name w:val="Default"/>
    <w:rsid w:val="00EC635B"/>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842CB7"/>
    <w:rPr>
      <w:i/>
      <w:iCs/>
    </w:rPr>
  </w:style>
  <w:style w:type="paragraph" w:styleId="ListParagraph">
    <w:name w:val="List Paragraph"/>
    <w:basedOn w:val="Normal"/>
    <w:uiPriority w:val="34"/>
    <w:qFormat/>
    <w:rsid w:val="000E31EB"/>
    <w:pPr>
      <w:spacing w:after="200" w:line="276" w:lineRule="auto"/>
      <w:ind w:left="720"/>
      <w:contextualSpacing/>
    </w:pPr>
    <w:rPr>
      <w:rFonts w:ascii="Cambria" w:eastAsia="Times New Roman" w:hAnsi="Cambria" w:cs="Times New Roman"/>
      <w:sz w:val="22"/>
      <w:szCs w:val="22"/>
    </w:rPr>
  </w:style>
  <w:style w:type="character" w:styleId="Strong">
    <w:name w:val="Strong"/>
    <w:basedOn w:val="DefaultParagraphFont"/>
    <w:uiPriority w:val="99"/>
    <w:qFormat/>
    <w:rsid w:val="000E31EB"/>
    <w:rPr>
      <w:rFonts w:cs="Times New Roman"/>
      <w:b/>
    </w:rPr>
  </w:style>
  <w:style w:type="paragraph" w:styleId="BalloonText">
    <w:name w:val="Balloon Text"/>
    <w:basedOn w:val="Normal"/>
    <w:link w:val="BalloonTextChar"/>
    <w:uiPriority w:val="99"/>
    <w:semiHidden/>
    <w:unhideWhenUsed/>
    <w:rsid w:val="008C53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3A5"/>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5348D"/>
    <w:rPr>
      <w:sz w:val="16"/>
      <w:szCs w:val="16"/>
    </w:rPr>
  </w:style>
  <w:style w:type="paragraph" w:styleId="CommentText">
    <w:name w:val="annotation text"/>
    <w:basedOn w:val="Normal"/>
    <w:link w:val="CommentTextChar"/>
    <w:uiPriority w:val="99"/>
    <w:semiHidden/>
    <w:unhideWhenUsed/>
    <w:rsid w:val="0045348D"/>
    <w:rPr>
      <w:sz w:val="20"/>
      <w:szCs w:val="20"/>
    </w:rPr>
  </w:style>
  <w:style w:type="character" w:customStyle="1" w:styleId="CommentTextChar">
    <w:name w:val="Comment Text Char"/>
    <w:basedOn w:val="DefaultParagraphFont"/>
    <w:link w:val="CommentText"/>
    <w:uiPriority w:val="99"/>
    <w:semiHidden/>
    <w:rsid w:val="0045348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5348D"/>
    <w:rPr>
      <w:b/>
      <w:bCs/>
    </w:rPr>
  </w:style>
  <w:style w:type="character" w:customStyle="1" w:styleId="CommentSubjectChar">
    <w:name w:val="Comment Subject Char"/>
    <w:basedOn w:val="CommentTextChar"/>
    <w:link w:val="CommentSubject"/>
    <w:uiPriority w:val="99"/>
    <w:semiHidden/>
    <w:rsid w:val="0045348D"/>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B"/>
    <w:pPr>
      <w:spacing w:after="0" w:line="240" w:lineRule="auto"/>
    </w:pPr>
    <w:rPr>
      <w:rFonts w:eastAsiaTheme="minorEastAsia"/>
      <w:sz w:val="24"/>
      <w:szCs w:val="24"/>
    </w:rPr>
  </w:style>
  <w:style w:type="paragraph" w:styleId="Heading1">
    <w:name w:val="heading 1"/>
    <w:basedOn w:val="Normal"/>
    <w:link w:val="Heading1Char"/>
    <w:uiPriority w:val="9"/>
    <w:qFormat/>
    <w:rsid w:val="00EC635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635B"/>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C635B"/>
    <w:rPr>
      <w:color w:val="0563C1" w:themeColor="hyperlink"/>
      <w:u w:val="single"/>
    </w:rPr>
  </w:style>
  <w:style w:type="character" w:customStyle="1" w:styleId="UnresolvedMention1">
    <w:name w:val="Unresolved Mention1"/>
    <w:basedOn w:val="DefaultParagraphFont"/>
    <w:uiPriority w:val="99"/>
    <w:semiHidden/>
    <w:unhideWhenUsed/>
    <w:rsid w:val="00EC635B"/>
    <w:rPr>
      <w:color w:val="808080"/>
      <w:shd w:val="clear" w:color="auto" w:fill="E6E6E6"/>
    </w:rPr>
  </w:style>
  <w:style w:type="character" w:styleId="FollowedHyperlink">
    <w:name w:val="FollowedHyperlink"/>
    <w:basedOn w:val="DefaultParagraphFont"/>
    <w:uiPriority w:val="99"/>
    <w:semiHidden/>
    <w:unhideWhenUsed/>
    <w:rsid w:val="00EC635B"/>
    <w:rPr>
      <w:color w:val="954F72" w:themeColor="followedHyperlink"/>
      <w:u w:val="single"/>
    </w:rPr>
  </w:style>
  <w:style w:type="character" w:customStyle="1" w:styleId="Heading1Char">
    <w:name w:val="Heading 1 Char"/>
    <w:basedOn w:val="DefaultParagraphFont"/>
    <w:link w:val="Heading1"/>
    <w:uiPriority w:val="9"/>
    <w:rsid w:val="00EC635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C635B"/>
    <w:rPr>
      <w:rFonts w:ascii="Calibri" w:eastAsiaTheme="minorHAnsi" w:hAnsi="Calibri" w:cs="Calibri"/>
      <w:sz w:val="22"/>
      <w:szCs w:val="22"/>
    </w:rPr>
  </w:style>
  <w:style w:type="paragraph" w:customStyle="1" w:styleId="Default">
    <w:name w:val="Default"/>
    <w:rsid w:val="00EC635B"/>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842CB7"/>
    <w:rPr>
      <w:i/>
      <w:iCs/>
    </w:rPr>
  </w:style>
  <w:style w:type="paragraph" w:styleId="ListParagraph">
    <w:name w:val="List Paragraph"/>
    <w:basedOn w:val="Normal"/>
    <w:uiPriority w:val="34"/>
    <w:qFormat/>
    <w:rsid w:val="000E31EB"/>
    <w:pPr>
      <w:spacing w:after="200" w:line="276" w:lineRule="auto"/>
      <w:ind w:left="720"/>
      <w:contextualSpacing/>
    </w:pPr>
    <w:rPr>
      <w:rFonts w:ascii="Cambria" w:eastAsia="Times New Roman" w:hAnsi="Cambria" w:cs="Times New Roman"/>
      <w:sz w:val="22"/>
      <w:szCs w:val="22"/>
    </w:rPr>
  </w:style>
  <w:style w:type="character" w:styleId="Strong">
    <w:name w:val="Strong"/>
    <w:basedOn w:val="DefaultParagraphFont"/>
    <w:uiPriority w:val="99"/>
    <w:qFormat/>
    <w:rsid w:val="000E31EB"/>
    <w:rPr>
      <w:rFonts w:cs="Times New Roman"/>
      <w:b/>
    </w:rPr>
  </w:style>
  <w:style w:type="paragraph" w:styleId="BalloonText">
    <w:name w:val="Balloon Text"/>
    <w:basedOn w:val="Normal"/>
    <w:link w:val="BalloonTextChar"/>
    <w:uiPriority w:val="99"/>
    <w:semiHidden/>
    <w:unhideWhenUsed/>
    <w:rsid w:val="008C53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3A5"/>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5348D"/>
    <w:rPr>
      <w:sz w:val="16"/>
      <w:szCs w:val="16"/>
    </w:rPr>
  </w:style>
  <w:style w:type="paragraph" w:styleId="CommentText">
    <w:name w:val="annotation text"/>
    <w:basedOn w:val="Normal"/>
    <w:link w:val="CommentTextChar"/>
    <w:uiPriority w:val="99"/>
    <w:semiHidden/>
    <w:unhideWhenUsed/>
    <w:rsid w:val="0045348D"/>
    <w:rPr>
      <w:sz w:val="20"/>
      <w:szCs w:val="20"/>
    </w:rPr>
  </w:style>
  <w:style w:type="character" w:customStyle="1" w:styleId="CommentTextChar">
    <w:name w:val="Comment Text Char"/>
    <w:basedOn w:val="DefaultParagraphFont"/>
    <w:link w:val="CommentText"/>
    <w:uiPriority w:val="99"/>
    <w:semiHidden/>
    <w:rsid w:val="0045348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5348D"/>
    <w:rPr>
      <w:b/>
      <w:bCs/>
    </w:rPr>
  </w:style>
  <w:style w:type="character" w:customStyle="1" w:styleId="CommentSubjectChar">
    <w:name w:val="Comment Subject Char"/>
    <w:basedOn w:val="CommentTextChar"/>
    <w:link w:val="CommentSubject"/>
    <w:uiPriority w:val="99"/>
    <w:semiHidden/>
    <w:rsid w:val="0045348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7830">
      <w:bodyDiv w:val="1"/>
      <w:marLeft w:val="0"/>
      <w:marRight w:val="0"/>
      <w:marTop w:val="0"/>
      <w:marBottom w:val="0"/>
      <w:divBdr>
        <w:top w:val="none" w:sz="0" w:space="0" w:color="auto"/>
        <w:left w:val="none" w:sz="0" w:space="0" w:color="auto"/>
        <w:bottom w:val="none" w:sz="0" w:space="0" w:color="auto"/>
        <w:right w:val="none" w:sz="0" w:space="0" w:color="auto"/>
      </w:divBdr>
    </w:div>
    <w:div w:id="365914513">
      <w:bodyDiv w:val="1"/>
      <w:marLeft w:val="0"/>
      <w:marRight w:val="0"/>
      <w:marTop w:val="0"/>
      <w:marBottom w:val="0"/>
      <w:divBdr>
        <w:top w:val="none" w:sz="0" w:space="0" w:color="auto"/>
        <w:left w:val="none" w:sz="0" w:space="0" w:color="auto"/>
        <w:bottom w:val="none" w:sz="0" w:space="0" w:color="auto"/>
        <w:right w:val="none" w:sz="0" w:space="0" w:color="auto"/>
      </w:divBdr>
    </w:div>
    <w:div w:id="982389040">
      <w:bodyDiv w:val="1"/>
      <w:marLeft w:val="0"/>
      <w:marRight w:val="0"/>
      <w:marTop w:val="0"/>
      <w:marBottom w:val="0"/>
      <w:divBdr>
        <w:top w:val="none" w:sz="0" w:space="0" w:color="auto"/>
        <w:left w:val="none" w:sz="0" w:space="0" w:color="auto"/>
        <w:bottom w:val="none" w:sz="0" w:space="0" w:color="auto"/>
        <w:right w:val="none" w:sz="0" w:space="0" w:color="auto"/>
      </w:divBdr>
    </w:div>
    <w:div w:id="1451626025">
      <w:bodyDiv w:val="1"/>
      <w:marLeft w:val="0"/>
      <w:marRight w:val="0"/>
      <w:marTop w:val="0"/>
      <w:marBottom w:val="0"/>
      <w:divBdr>
        <w:top w:val="none" w:sz="0" w:space="0" w:color="auto"/>
        <w:left w:val="none" w:sz="0" w:space="0" w:color="auto"/>
        <w:bottom w:val="none" w:sz="0" w:space="0" w:color="auto"/>
        <w:right w:val="none" w:sz="0" w:space="0" w:color="auto"/>
      </w:divBdr>
    </w:div>
    <w:div w:id="1454514299">
      <w:bodyDiv w:val="1"/>
      <w:marLeft w:val="0"/>
      <w:marRight w:val="0"/>
      <w:marTop w:val="0"/>
      <w:marBottom w:val="0"/>
      <w:divBdr>
        <w:top w:val="none" w:sz="0" w:space="0" w:color="auto"/>
        <w:left w:val="none" w:sz="0" w:space="0" w:color="auto"/>
        <w:bottom w:val="none" w:sz="0" w:space="0" w:color="auto"/>
        <w:right w:val="none" w:sz="0" w:space="0" w:color="auto"/>
      </w:divBdr>
    </w:div>
    <w:div w:id="1526213510">
      <w:bodyDiv w:val="1"/>
      <w:marLeft w:val="0"/>
      <w:marRight w:val="0"/>
      <w:marTop w:val="0"/>
      <w:marBottom w:val="0"/>
      <w:divBdr>
        <w:top w:val="none" w:sz="0" w:space="0" w:color="auto"/>
        <w:left w:val="none" w:sz="0" w:space="0" w:color="auto"/>
        <w:bottom w:val="none" w:sz="0" w:space="0" w:color="auto"/>
        <w:right w:val="none" w:sz="0" w:space="0" w:color="auto"/>
      </w:divBdr>
    </w:div>
    <w:div w:id="18143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Lindberg</dc:creator>
  <cp:lastModifiedBy>Theresa M. Forster</cp:lastModifiedBy>
  <cp:revision>2</cp:revision>
  <cp:lastPrinted>2017-10-31T16:31:00Z</cp:lastPrinted>
  <dcterms:created xsi:type="dcterms:W3CDTF">2017-10-31T16:37:00Z</dcterms:created>
  <dcterms:modified xsi:type="dcterms:W3CDTF">2017-10-31T16:37:00Z</dcterms:modified>
</cp:coreProperties>
</file>