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4455" w:rsidRPr="00660EE7" w:rsidRDefault="00691E91" w:rsidP="00844C71">
      <w:pPr>
        <w:spacing w:line="240" w:lineRule="auto"/>
      </w:pPr>
      <w:r w:rsidRPr="00660EE7">
        <w:t xml:space="preserve">DRAFT LCAO </w:t>
      </w:r>
      <w:r w:rsidR="00BD349E">
        <w:t xml:space="preserve">FY 2018 </w:t>
      </w:r>
      <w:r w:rsidRPr="00660EE7">
        <w:t>Appropriations Letter</w:t>
      </w:r>
      <w:r w:rsidR="003B41FE" w:rsidRPr="00660EE7">
        <w:t xml:space="preserve"> </w:t>
      </w:r>
    </w:p>
    <w:p w:rsidR="00691E91" w:rsidRPr="00660EE7" w:rsidRDefault="003B41FE" w:rsidP="00844C71">
      <w:pPr>
        <w:pStyle w:val="NoSpacing"/>
      </w:pPr>
      <w:r w:rsidRPr="00660EE7">
        <w:rPr>
          <w:highlight w:val="yellow"/>
        </w:rPr>
        <w:t xml:space="preserve">Send </w:t>
      </w:r>
      <w:r w:rsidR="00691E91" w:rsidRPr="00660EE7">
        <w:rPr>
          <w:highlight w:val="yellow"/>
        </w:rPr>
        <w:t xml:space="preserve">To: </w:t>
      </w:r>
      <w:r w:rsidR="00E77E9F">
        <w:rPr>
          <w:highlight w:val="yellow"/>
        </w:rPr>
        <w:t xml:space="preserve">Full approps Committee leaders with leaders of </w:t>
      </w:r>
      <w:r w:rsidR="00660EE7" w:rsidRPr="00660EE7">
        <w:rPr>
          <w:highlight w:val="yellow"/>
        </w:rPr>
        <w:t>Labor-HHS</w:t>
      </w:r>
      <w:r w:rsidR="00BD349E">
        <w:rPr>
          <w:highlight w:val="yellow"/>
        </w:rPr>
        <w:t>, T-HUD</w:t>
      </w:r>
      <w:r w:rsidR="00E77E9F">
        <w:rPr>
          <w:highlight w:val="yellow"/>
        </w:rPr>
        <w:t>, Ag, Commerce</w:t>
      </w:r>
      <w:r w:rsidR="00660EE7" w:rsidRPr="00660EE7">
        <w:rPr>
          <w:highlight w:val="yellow"/>
        </w:rPr>
        <w:t xml:space="preserve"> leaders with Full Cmte leadership</w:t>
      </w:r>
      <w:r w:rsidR="00BD349E">
        <w:rPr>
          <w:highlight w:val="yellow"/>
        </w:rPr>
        <w:t xml:space="preserve"> and subcmte members copied</w:t>
      </w:r>
      <w:r w:rsidR="00660EE7">
        <w:t xml:space="preserve"> </w:t>
      </w:r>
    </w:p>
    <w:p w:rsidR="00660EE7" w:rsidRDefault="00660EE7" w:rsidP="00844C71">
      <w:pPr>
        <w:pStyle w:val="NoSpacing"/>
      </w:pPr>
    </w:p>
    <w:p w:rsidR="00BB515C" w:rsidRPr="00660EE7" w:rsidRDefault="00BD349E" w:rsidP="00844C71">
      <w:pPr>
        <w:pStyle w:val="NoSpacing"/>
      </w:pPr>
      <w:r>
        <w:t>June XX, 2017</w:t>
      </w:r>
    </w:p>
    <w:p w:rsidR="009E35E7" w:rsidRDefault="009E35E7" w:rsidP="00844C71">
      <w:pPr>
        <w:pStyle w:val="NoSpacing"/>
        <w:sectPr w:rsidR="009E35E7" w:rsidSect="00E7251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pPr>
    </w:p>
    <w:p w:rsidR="00BB515C" w:rsidRPr="00660EE7" w:rsidRDefault="00BB515C" w:rsidP="00844C71">
      <w:pPr>
        <w:pStyle w:val="NoSpacing"/>
      </w:pPr>
    </w:p>
    <w:p w:rsidR="006C52AD" w:rsidRDefault="006C52AD" w:rsidP="00844C71">
      <w:pPr>
        <w:pStyle w:val="NoSpacing"/>
        <w:sectPr w:rsidR="006C52AD" w:rsidSect="009E35E7">
          <w:type w:val="continuous"/>
          <w:pgSz w:w="12240" w:h="15840"/>
          <w:pgMar w:top="1440" w:right="1440" w:bottom="1440" w:left="1440" w:header="720" w:footer="720" w:gutter="0"/>
          <w:cols w:space="720"/>
          <w:docGrid w:linePitch="360"/>
        </w:sectPr>
      </w:pPr>
    </w:p>
    <w:p w:rsidR="00201FF0" w:rsidRDefault="00201FF0" w:rsidP="00844C71">
      <w:pPr>
        <w:pStyle w:val="NoSpacing"/>
      </w:pPr>
    </w:p>
    <w:p w:rsidR="00BB515C" w:rsidRPr="00660EE7" w:rsidRDefault="00BB515C" w:rsidP="00844C71">
      <w:pPr>
        <w:pStyle w:val="NoSpacing"/>
      </w:pPr>
      <w:r w:rsidRPr="00660EE7">
        <w:t xml:space="preserve">The Honorable </w:t>
      </w:r>
      <w:r w:rsidR="009E35E7">
        <w:t>Thad Cochran, Chairman</w:t>
      </w:r>
    </w:p>
    <w:p w:rsidR="00BB515C" w:rsidRPr="00660EE7" w:rsidRDefault="00BB515C" w:rsidP="00844C71">
      <w:pPr>
        <w:pStyle w:val="NoSpacing"/>
      </w:pPr>
      <w:r w:rsidRPr="00660EE7">
        <w:t xml:space="preserve">The Honorable </w:t>
      </w:r>
      <w:r w:rsidR="009E35E7">
        <w:t>Patrick Leahy</w:t>
      </w:r>
      <w:r w:rsidRPr="00660EE7">
        <w:t>, Ranking Member</w:t>
      </w:r>
    </w:p>
    <w:p w:rsidR="00BB515C" w:rsidRPr="00660EE7" w:rsidRDefault="00BB515C" w:rsidP="00844C71">
      <w:pPr>
        <w:pStyle w:val="NoSpacing"/>
      </w:pPr>
      <w:r w:rsidRPr="00660EE7">
        <w:t xml:space="preserve">Senate Appropriations </w:t>
      </w:r>
      <w:r w:rsidR="009E35E7">
        <w:t>Committee</w:t>
      </w:r>
    </w:p>
    <w:p w:rsidR="00BB515C" w:rsidRPr="00660EE7" w:rsidRDefault="00BB515C" w:rsidP="00844C71">
      <w:pPr>
        <w:pStyle w:val="NoSpacing"/>
      </w:pPr>
      <w:r w:rsidRPr="00660EE7">
        <w:t>Washington, DC  20510</w:t>
      </w:r>
    </w:p>
    <w:p w:rsidR="00BB515C" w:rsidRPr="00660EE7" w:rsidRDefault="00BB515C" w:rsidP="00844C71">
      <w:pPr>
        <w:pStyle w:val="NoSpacing"/>
      </w:pPr>
    </w:p>
    <w:p w:rsidR="00BB515C" w:rsidRPr="00660EE7" w:rsidRDefault="00BB515C" w:rsidP="00844C71">
      <w:pPr>
        <w:pStyle w:val="NoSpacing"/>
      </w:pPr>
      <w:r w:rsidRPr="00660EE7">
        <w:t xml:space="preserve">The Honorable </w:t>
      </w:r>
      <w:r w:rsidR="009E35E7">
        <w:t>Rodney Frelinghuysen</w:t>
      </w:r>
      <w:r w:rsidRPr="00660EE7">
        <w:t>, Chair</w:t>
      </w:r>
      <w:r w:rsidR="009E35E7">
        <w:t>man</w:t>
      </w:r>
    </w:p>
    <w:p w:rsidR="00BB515C" w:rsidRPr="00660EE7" w:rsidRDefault="00BB515C" w:rsidP="00844C71">
      <w:pPr>
        <w:pStyle w:val="NoSpacing"/>
      </w:pPr>
      <w:r w:rsidRPr="00660EE7">
        <w:t xml:space="preserve">The Honorable </w:t>
      </w:r>
      <w:r w:rsidR="009E35E7">
        <w:t>Nita Lowe</w:t>
      </w:r>
      <w:r w:rsidRPr="00660EE7">
        <w:t>, Ranking Member</w:t>
      </w:r>
    </w:p>
    <w:p w:rsidR="00BB515C" w:rsidRPr="00660EE7" w:rsidRDefault="00BB515C" w:rsidP="00844C71">
      <w:pPr>
        <w:pStyle w:val="NoSpacing"/>
      </w:pPr>
      <w:r w:rsidRPr="00660EE7">
        <w:t xml:space="preserve">House Appropriations </w:t>
      </w:r>
      <w:r w:rsidR="009E35E7">
        <w:t>Committee</w:t>
      </w:r>
      <w:r w:rsidRPr="00660EE7">
        <w:t xml:space="preserve"> </w:t>
      </w:r>
    </w:p>
    <w:p w:rsidR="00BB515C" w:rsidRDefault="00BB515C" w:rsidP="00844C71">
      <w:pPr>
        <w:pStyle w:val="NoSpacing"/>
      </w:pPr>
      <w:r w:rsidRPr="00660EE7">
        <w:t>Washington, DC  20515</w:t>
      </w:r>
    </w:p>
    <w:p w:rsidR="00BD349E" w:rsidRDefault="00BD349E" w:rsidP="00844C71">
      <w:pPr>
        <w:pStyle w:val="NoSpacing"/>
      </w:pPr>
    </w:p>
    <w:p w:rsidR="006C52AD" w:rsidRDefault="006C52AD" w:rsidP="00844C71">
      <w:pPr>
        <w:pStyle w:val="NoSpacing"/>
        <w:sectPr w:rsidR="006C52AD" w:rsidSect="009E35E7">
          <w:type w:val="continuous"/>
          <w:pgSz w:w="12240" w:h="15840"/>
          <w:pgMar w:top="1440" w:right="1440" w:bottom="1440" w:left="1440" w:header="720" w:footer="720" w:gutter="0"/>
          <w:cols w:space="720"/>
          <w:docGrid w:linePitch="360"/>
        </w:sectPr>
      </w:pPr>
    </w:p>
    <w:p w:rsidR="00201FF0" w:rsidRDefault="00201FF0" w:rsidP="00844C71">
      <w:pPr>
        <w:pStyle w:val="NoSpacing"/>
      </w:pPr>
    </w:p>
    <w:p w:rsidR="00BB515C" w:rsidRPr="00660EE7" w:rsidRDefault="00BD349E" w:rsidP="00844C71">
      <w:pPr>
        <w:pStyle w:val="NoSpacing"/>
      </w:pPr>
      <w:r>
        <w:t xml:space="preserve">Dear </w:t>
      </w:r>
      <w:r w:rsidR="00E77E9F">
        <w:t>Chairm</w:t>
      </w:r>
      <w:r w:rsidR="009E35E7">
        <w:t>an Cochran, Ranking Member Leahy, Chairman Frelinghuysen and Ranking Member Lowey</w:t>
      </w:r>
      <w:r w:rsidR="00BB515C" w:rsidRPr="00660EE7">
        <w:t>:</w:t>
      </w:r>
    </w:p>
    <w:p w:rsidR="00BB515C" w:rsidRPr="00660EE7" w:rsidRDefault="00BB515C" w:rsidP="00844C71">
      <w:pPr>
        <w:pStyle w:val="NoSpacing"/>
      </w:pPr>
    </w:p>
    <w:p w:rsidR="00691E91" w:rsidRPr="00660EE7" w:rsidRDefault="00691E91" w:rsidP="00844C71">
      <w:pPr>
        <w:pStyle w:val="NoSpacing"/>
      </w:pPr>
      <w:r w:rsidRPr="00660EE7">
        <w:t>The Leadership Council of Aging Organizations (LCAO) is a coalition of national nonprofit organizations concerned with the well-being of America's older population and committed to representing their interests in the policy-making arena.</w:t>
      </w:r>
      <w:r w:rsidR="00BD349E">
        <w:t xml:space="preserve"> Many of the federal programs</w:t>
      </w:r>
      <w:r w:rsidR="009E35E7">
        <w:t xml:space="preserve"> under </w:t>
      </w:r>
      <w:r w:rsidR="00B95A1A">
        <w:t xml:space="preserve">your </w:t>
      </w:r>
      <w:r w:rsidR="009E35E7">
        <w:t xml:space="preserve">jurisdiction </w:t>
      </w:r>
      <w:r w:rsidR="00BD349E">
        <w:t xml:space="preserve">are </w:t>
      </w:r>
      <w:r w:rsidR="001231E1">
        <w:t xml:space="preserve">critical to helping millions of older adults and caregivers age with dignity, health and independence in their homes and communities for as long as possible. </w:t>
      </w:r>
    </w:p>
    <w:p w:rsidR="00BB515C" w:rsidRPr="00660EE7" w:rsidRDefault="00BB515C" w:rsidP="00844C71">
      <w:pPr>
        <w:pStyle w:val="NoSpacing"/>
      </w:pPr>
    </w:p>
    <w:p w:rsidR="00DA14E1" w:rsidRDefault="00DD3A2F" w:rsidP="00844C71">
      <w:pPr>
        <w:spacing w:after="0" w:line="240" w:lineRule="auto"/>
      </w:pPr>
      <w:r>
        <w:t xml:space="preserve">We appreciate </w:t>
      </w:r>
      <w:r w:rsidR="00BD349E">
        <w:t xml:space="preserve">the work of </w:t>
      </w:r>
      <w:r>
        <w:t>your</w:t>
      </w:r>
      <w:r w:rsidR="00BB515C" w:rsidRPr="00660EE7">
        <w:t xml:space="preserve"> </w:t>
      </w:r>
      <w:r w:rsidR="009E35E7">
        <w:t>Committees</w:t>
      </w:r>
      <w:r w:rsidR="00BB515C" w:rsidRPr="00660EE7">
        <w:t xml:space="preserve"> to </w:t>
      </w:r>
      <w:r w:rsidR="00B85D10">
        <w:t xml:space="preserve">pass the Consolidated Appropriations Act of 2017 to </w:t>
      </w:r>
      <w:r w:rsidR="00BB515C" w:rsidRPr="00660EE7">
        <w:t xml:space="preserve">ensure </w:t>
      </w:r>
      <w:r w:rsidR="00B85D10">
        <w:t>funding levels</w:t>
      </w:r>
      <w:r w:rsidR="00BB515C" w:rsidRPr="00660EE7">
        <w:t xml:space="preserve"> for the remainder of fiscal year</w:t>
      </w:r>
      <w:r w:rsidR="00660EE7">
        <w:t xml:space="preserve"> </w:t>
      </w:r>
      <w:r w:rsidR="00201FF0">
        <w:t>FY</w:t>
      </w:r>
      <w:r w:rsidR="00BB515C" w:rsidRPr="00660EE7">
        <w:t xml:space="preserve"> 201</w:t>
      </w:r>
      <w:r w:rsidR="00BD349E">
        <w:t>7</w:t>
      </w:r>
      <w:r w:rsidR="0009261B" w:rsidRPr="00660EE7">
        <w:t xml:space="preserve"> reflect</w:t>
      </w:r>
      <w:r w:rsidR="00B85D10">
        <w:t>ed</w:t>
      </w:r>
      <w:r w:rsidR="0009261B" w:rsidRPr="00660EE7">
        <w:t xml:space="preserve"> the increased discretionary budget caps </w:t>
      </w:r>
      <w:r w:rsidR="00BA13F1">
        <w:t>agreed</w:t>
      </w:r>
      <w:r w:rsidR="00B85D10">
        <w:t xml:space="preserve"> to and </w:t>
      </w:r>
      <w:r w:rsidR="0009261B" w:rsidRPr="00660EE7">
        <w:t xml:space="preserve">enacted </w:t>
      </w:r>
      <w:r w:rsidR="00B85D10">
        <w:t>through</w:t>
      </w:r>
      <w:r w:rsidR="00B85D10" w:rsidRPr="00660EE7">
        <w:t xml:space="preserve"> </w:t>
      </w:r>
      <w:r w:rsidR="0009261B" w:rsidRPr="00660EE7">
        <w:t xml:space="preserve">the </w:t>
      </w:r>
      <w:r w:rsidR="00BA13F1">
        <w:t>bipartisan budget agreement</w:t>
      </w:r>
      <w:r w:rsidR="0009261B" w:rsidRPr="00660EE7">
        <w:t>)</w:t>
      </w:r>
      <w:r w:rsidR="00BD349E">
        <w:t xml:space="preserve">. </w:t>
      </w:r>
    </w:p>
    <w:p w:rsidR="00DA14E1" w:rsidRDefault="00DA14E1" w:rsidP="00844C71">
      <w:pPr>
        <w:spacing w:after="0" w:line="240" w:lineRule="auto"/>
      </w:pPr>
    </w:p>
    <w:p w:rsidR="00BB515C" w:rsidRPr="00660EE7" w:rsidRDefault="00BD349E" w:rsidP="00844C71">
      <w:pPr>
        <w:spacing w:after="0" w:line="240" w:lineRule="auto"/>
      </w:pPr>
      <w:r>
        <w:t xml:space="preserve">As you </w:t>
      </w:r>
      <w:r w:rsidR="00201FF0">
        <w:t>continue</w:t>
      </w:r>
      <w:r>
        <w:t xml:space="preserve"> your work on FY 2018 appropriations, we strongly encourage you to reject </w:t>
      </w:r>
      <w:r w:rsidR="00DA14E1">
        <w:t xml:space="preserve">the approach reflected in </w:t>
      </w:r>
      <w:r w:rsidR="00B95A1A">
        <w:t>the</w:t>
      </w:r>
      <w:r w:rsidR="00B85D10">
        <w:t xml:space="preserve"> </w:t>
      </w:r>
      <w:r w:rsidR="00BA13F1">
        <w:t>President’s</w:t>
      </w:r>
      <w:r w:rsidR="00DA14E1">
        <w:t xml:space="preserve"> budget request for Non-Def</w:t>
      </w:r>
      <w:r w:rsidR="00E24F8C">
        <w:t xml:space="preserve">ense Discretionary (NDD) funding. The draconian approach to deepen cuts to critical domestic programs is heavy-handed and shortsighted. Under </w:t>
      </w:r>
      <w:r w:rsidR="00201FF0">
        <w:t>current law,</w:t>
      </w:r>
      <w:r w:rsidR="00E24F8C">
        <w:t xml:space="preserve"> NDD funding is set to fall to its lowest level on record as a share of the overall economy, and the </w:t>
      </w:r>
      <w:r w:rsidR="00B85D10">
        <w:t xml:space="preserve">Administration’s </w:t>
      </w:r>
      <w:r w:rsidR="00E24F8C">
        <w:t xml:space="preserve">approach to further erode funding for domestic programs undermines our longstanding national priorities to support our most vulnerable citizens, including millions of older adults and their caregivers. Instead we urge you to </w:t>
      </w:r>
      <w:r w:rsidR="00BB515C" w:rsidRPr="00660EE7">
        <w:t>work toward the passage of appropriations bill</w:t>
      </w:r>
      <w:r w:rsidR="001231E1">
        <w:t>s</w:t>
      </w:r>
      <w:r w:rsidR="00201FF0">
        <w:t xml:space="preserve"> that include adequate</w:t>
      </w:r>
      <w:r w:rsidR="001231E1">
        <w:t xml:space="preserve"> funding levels for </w:t>
      </w:r>
      <w:r w:rsidR="00201FF0">
        <w:t xml:space="preserve">a panoply of </w:t>
      </w:r>
      <w:r w:rsidR="001231E1">
        <w:t>key programs within the Departments of Health and Human Services (H</w:t>
      </w:r>
      <w:r w:rsidR="00201FF0">
        <w:t xml:space="preserve">HS), Labor (DOL), Housing (HUD), </w:t>
      </w:r>
      <w:r w:rsidR="001231E1">
        <w:t>Transportation (DOT)</w:t>
      </w:r>
      <w:r w:rsidR="00201FF0">
        <w:t xml:space="preserve">, Agriculture (USDA), </w:t>
      </w:r>
      <w:r w:rsidR="009E35E7">
        <w:t>and Justice (DOJ)</w:t>
      </w:r>
      <w:r w:rsidR="001231E1">
        <w:t xml:space="preserve"> that </w:t>
      </w:r>
      <w:r w:rsidR="00BB515C" w:rsidRPr="00660EE7">
        <w:t xml:space="preserve">prioritize </w:t>
      </w:r>
      <w:r w:rsidR="001231E1">
        <w:t>and promote the goal</w:t>
      </w:r>
      <w:r w:rsidR="00BB515C" w:rsidRPr="00660EE7">
        <w:t xml:space="preserve"> to enhance the dignity, health and independence of older adults, such as the </w:t>
      </w:r>
      <w:r w:rsidR="00BB515C" w:rsidRPr="00201FF0">
        <w:rPr>
          <w:bCs/>
        </w:rPr>
        <w:t>Older Americans Act (OAA)</w:t>
      </w:r>
      <w:r w:rsidR="00BB515C" w:rsidRPr="00660EE7">
        <w:t xml:space="preserve"> programs and services.</w:t>
      </w:r>
      <w:r w:rsidR="001231E1">
        <w:t xml:space="preserve"> As you move forward in developing these proposals, we ask you to consider the following requests for these programs. </w:t>
      </w:r>
    </w:p>
    <w:p w:rsidR="00474D58" w:rsidRDefault="00474D58" w:rsidP="00844C71">
      <w:pPr>
        <w:spacing w:after="0" w:line="240" w:lineRule="auto"/>
        <w:rPr>
          <w:sz w:val="24"/>
          <w:szCs w:val="24"/>
        </w:rPr>
      </w:pPr>
    </w:p>
    <w:p w:rsidR="00696338" w:rsidRDefault="00696338" w:rsidP="00844C71">
      <w:pPr>
        <w:spacing w:after="0" w:line="240" w:lineRule="auto"/>
        <w:rPr>
          <w:sz w:val="24"/>
          <w:szCs w:val="24"/>
        </w:rPr>
      </w:pPr>
    </w:p>
    <w:p w:rsidR="00696338" w:rsidRDefault="00696338" w:rsidP="00844C71">
      <w:pPr>
        <w:spacing w:after="0" w:line="240" w:lineRule="auto"/>
        <w:rPr>
          <w:sz w:val="24"/>
          <w:szCs w:val="24"/>
        </w:rPr>
      </w:pPr>
    </w:p>
    <w:p w:rsidR="00696338" w:rsidRDefault="00696338" w:rsidP="00844C71">
      <w:pPr>
        <w:spacing w:after="0" w:line="240" w:lineRule="auto"/>
        <w:rPr>
          <w:sz w:val="24"/>
          <w:szCs w:val="24"/>
        </w:rPr>
      </w:pPr>
    </w:p>
    <w:p w:rsidR="00941AEA" w:rsidRDefault="00941AEA" w:rsidP="00844C71">
      <w:pPr>
        <w:spacing w:after="0" w:line="240" w:lineRule="auto"/>
        <w:rPr>
          <w:b/>
          <w:bCs/>
          <w:sz w:val="24"/>
          <w:szCs w:val="24"/>
          <w:u w:val="single"/>
        </w:rPr>
      </w:pPr>
    </w:p>
    <w:p w:rsidR="00696338" w:rsidRPr="00696338" w:rsidRDefault="00DA14E1" w:rsidP="00844C71">
      <w:pPr>
        <w:spacing w:after="0" w:line="240" w:lineRule="auto"/>
        <w:jc w:val="center"/>
        <w:rPr>
          <w:b/>
          <w:bCs/>
          <w:color w:val="4F6228" w:themeColor="accent3" w:themeShade="80"/>
          <w:sz w:val="28"/>
          <w:szCs w:val="28"/>
        </w:rPr>
      </w:pPr>
      <w:r w:rsidRPr="00696338">
        <w:rPr>
          <w:b/>
          <w:bCs/>
          <w:color w:val="4F6228" w:themeColor="accent3" w:themeShade="80"/>
          <w:sz w:val="28"/>
          <w:szCs w:val="28"/>
        </w:rPr>
        <w:lastRenderedPageBreak/>
        <w:t>Subcommittee on Labor, Health and Human Services,</w:t>
      </w:r>
      <w:r w:rsidR="00696338" w:rsidRPr="00696338">
        <w:rPr>
          <w:b/>
          <w:bCs/>
          <w:color w:val="4F6228" w:themeColor="accent3" w:themeShade="80"/>
          <w:sz w:val="28"/>
          <w:szCs w:val="28"/>
        </w:rPr>
        <w:t xml:space="preserve"> </w:t>
      </w:r>
    </w:p>
    <w:p w:rsidR="00DA14E1" w:rsidRPr="00696338" w:rsidRDefault="00696338" w:rsidP="00844C71">
      <w:pPr>
        <w:spacing w:after="0" w:line="240" w:lineRule="auto"/>
        <w:jc w:val="center"/>
        <w:rPr>
          <w:b/>
          <w:bCs/>
          <w:color w:val="4F6228" w:themeColor="accent3" w:themeShade="80"/>
          <w:sz w:val="28"/>
          <w:szCs w:val="28"/>
        </w:rPr>
      </w:pPr>
      <w:r w:rsidRPr="00696338">
        <w:rPr>
          <w:b/>
          <w:bCs/>
          <w:color w:val="4F6228" w:themeColor="accent3" w:themeShade="80"/>
          <w:sz w:val="28"/>
          <w:szCs w:val="28"/>
        </w:rPr>
        <w:t>Education and Related Agencies</w:t>
      </w:r>
    </w:p>
    <w:p w:rsidR="00DA14E1" w:rsidRDefault="00DA14E1" w:rsidP="00844C71">
      <w:pPr>
        <w:spacing w:after="0" w:line="240" w:lineRule="auto"/>
        <w:rPr>
          <w:u w:val="single"/>
        </w:rPr>
      </w:pPr>
    </w:p>
    <w:p w:rsidR="001231E1" w:rsidRPr="00696338" w:rsidRDefault="001231E1" w:rsidP="00844C71">
      <w:pPr>
        <w:spacing w:after="0" w:line="240" w:lineRule="auto"/>
        <w:rPr>
          <w:b/>
          <w:bCs/>
          <w:color w:val="0F243E" w:themeColor="text2" w:themeShade="80"/>
          <w:sz w:val="24"/>
          <w:szCs w:val="24"/>
        </w:rPr>
      </w:pPr>
      <w:r w:rsidRPr="00696338">
        <w:rPr>
          <w:b/>
          <w:bCs/>
          <w:color w:val="0F243E" w:themeColor="text2" w:themeShade="80"/>
          <w:sz w:val="24"/>
          <w:szCs w:val="24"/>
        </w:rPr>
        <w:t>Older Americans Act (Department of Health and Human Services/Administration for Community Living-Administration on Aging)</w:t>
      </w:r>
    </w:p>
    <w:p w:rsidR="001231E1" w:rsidRPr="00660EE7" w:rsidRDefault="001231E1" w:rsidP="00844C71">
      <w:pPr>
        <w:spacing w:after="0" w:line="240" w:lineRule="auto"/>
        <w:rPr>
          <w:sz w:val="24"/>
          <w:szCs w:val="24"/>
        </w:rPr>
      </w:pPr>
    </w:p>
    <w:p w:rsidR="00BB515C" w:rsidRPr="006C52AD" w:rsidRDefault="00BB515C" w:rsidP="00844C71">
      <w:pPr>
        <w:spacing w:after="0" w:line="240" w:lineRule="auto"/>
        <w:rPr>
          <w:b/>
          <w:i/>
          <w:iCs/>
        </w:rPr>
      </w:pPr>
      <w:r w:rsidRPr="006C52AD">
        <w:rPr>
          <w:b/>
          <w:i/>
          <w:iCs/>
        </w:rPr>
        <w:t>The Value of the Older Americans Act</w:t>
      </w:r>
    </w:p>
    <w:p w:rsidR="00BB515C" w:rsidRPr="00660EE7" w:rsidRDefault="00BB515C" w:rsidP="00844C71">
      <w:pPr>
        <w:spacing w:after="0" w:line="240" w:lineRule="auto"/>
      </w:pPr>
    </w:p>
    <w:p w:rsidR="00BB515C" w:rsidRPr="00660EE7" w:rsidRDefault="00BB515C" w:rsidP="00844C71">
      <w:pPr>
        <w:spacing w:after="0" w:line="240" w:lineRule="auto"/>
      </w:pPr>
      <w:r w:rsidRPr="00660EE7">
        <w:t xml:space="preserve">The OAA is the backbone of </w:t>
      </w:r>
      <w:r w:rsidR="00AB75D5">
        <w:t>our</w:t>
      </w:r>
      <w:r w:rsidRPr="00660EE7">
        <w:t xml:space="preserve"> nation’s</w:t>
      </w:r>
      <w:r w:rsidR="00201FF0">
        <w:t xml:space="preserve"> home and </w:t>
      </w:r>
      <w:r w:rsidR="00474D58">
        <w:t xml:space="preserve">community </w:t>
      </w:r>
      <w:r w:rsidRPr="00660EE7">
        <w:t>supports system, providing</w:t>
      </w:r>
      <w:r w:rsidR="00474D58">
        <w:t xml:space="preserve"> </w:t>
      </w:r>
      <w:r w:rsidRPr="00660EE7">
        <w:t>older adults with much-needed services that include home care, congregate and home-delivered meals, case management, caregiver support, transportation, health promotion and disease prevention, legal services, elder abuse prevention</w:t>
      </w:r>
      <w:r w:rsidR="00DF19A0" w:rsidRPr="00660EE7">
        <w:t xml:space="preserve">, </w:t>
      </w:r>
      <w:r w:rsidRPr="00660EE7">
        <w:t>community service employment</w:t>
      </w:r>
      <w:r w:rsidR="0009261B" w:rsidRPr="00660EE7">
        <w:t xml:space="preserve"> </w:t>
      </w:r>
      <w:r w:rsidRPr="00660EE7">
        <w:t>opportunities for low-income older adults</w:t>
      </w:r>
      <w:r w:rsidR="00D865A5">
        <w:t>,</w:t>
      </w:r>
      <w:r w:rsidR="00DA1A01">
        <w:t xml:space="preserve"> and ombudsman programs that help protect residents in nursing homes and assisted living facilities</w:t>
      </w:r>
      <w:r w:rsidRPr="00660EE7">
        <w:t xml:space="preserve">. </w:t>
      </w:r>
    </w:p>
    <w:p w:rsidR="0009261B" w:rsidRPr="00660EE7" w:rsidRDefault="0009261B" w:rsidP="00844C71">
      <w:pPr>
        <w:spacing w:after="0" w:line="240" w:lineRule="auto"/>
      </w:pPr>
    </w:p>
    <w:p w:rsidR="00BB515C" w:rsidRDefault="00BB515C" w:rsidP="00844C71">
      <w:pPr>
        <w:spacing w:after="0" w:line="240" w:lineRule="auto"/>
      </w:pPr>
      <w:r w:rsidRPr="00660EE7">
        <w:t xml:space="preserve">For </w:t>
      </w:r>
      <w:r w:rsidR="00A12312">
        <w:t xml:space="preserve">more than </w:t>
      </w:r>
      <w:r w:rsidR="0009261B" w:rsidRPr="00660EE7">
        <w:t>fifty years</w:t>
      </w:r>
      <w:r w:rsidRPr="00660EE7">
        <w:t>, OAA programs have demonstrated a unique ability to provide these quality</w:t>
      </w:r>
      <w:r w:rsidR="0009261B" w:rsidRPr="00660EE7">
        <w:t xml:space="preserve"> </w:t>
      </w:r>
      <w:r w:rsidRPr="00660EE7">
        <w:t>services while enhancing and protecting federal resources. OAA programs represent less than</w:t>
      </w:r>
      <w:r w:rsidR="001231E1">
        <w:t xml:space="preserve"> one third of one</w:t>
      </w:r>
      <w:r w:rsidR="00660EE7">
        <w:t xml:space="preserve"> percent</w:t>
      </w:r>
      <w:r w:rsidRPr="00660EE7">
        <w:t xml:space="preserve"> of federal discretionary spending</w:t>
      </w:r>
      <w:r w:rsidR="001231E1">
        <w:t xml:space="preserve"> (.0031)</w:t>
      </w:r>
      <w:r w:rsidRPr="00660EE7">
        <w:t>, but offer an incredible return on investment by</w:t>
      </w:r>
      <w:r w:rsidR="0009261B" w:rsidRPr="00660EE7">
        <w:t xml:space="preserve"> </w:t>
      </w:r>
      <w:r w:rsidRPr="00660EE7">
        <w:t xml:space="preserve">leveraging state, local, and private dollars, as well as volunteerism, to help </w:t>
      </w:r>
      <w:r w:rsidR="00201FF0">
        <w:t xml:space="preserve">over 11 million </w:t>
      </w:r>
      <w:r w:rsidRPr="00660EE7">
        <w:t xml:space="preserve">seniors </w:t>
      </w:r>
      <w:r w:rsidR="00201FF0">
        <w:t xml:space="preserve">and caregivers </w:t>
      </w:r>
      <w:r w:rsidRPr="00660EE7">
        <w:t>age in place</w:t>
      </w:r>
      <w:r w:rsidR="00201FF0">
        <w:t xml:space="preserve"> every year</w:t>
      </w:r>
      <w:r w:rsidRPr="00660EE7">
        <w:t>.</w:t>
      </w:r>
    </w:p>
    <w:p w:rsidR="001231E1" w:rsidRPr="00660EE7" w:rsidRDefault="001231E1" w:rsidP="00844C71">
      <w:pPr>
        <w:spacing w:after="0" w:line="240" w:lineRule="auto"/>
      </w:pPr>
    </w:p>
    <w:p w:rsidR="00BB515C" w:rsidRPr="00660EE7" w:rsidRDefault="00BB515C" w:rsidP="00844C71">
      <w:pPr>
        <w:spacing w:after="0" w:line="240" w:lineRule="auto"/>
      </w:pPr>
      <w:r w:rsidRPr="00660EE7">
        <w:t>Together, these services save taxpayer dollars by enabling seniors to remain independent</w:t>
      </w:r>
      <w:r w:rsidR="0009261B" w:rsidRPr="00660EE7">
        <w:t xml:space="preserve"> </w:t>
      </w:r>
      <w:r w:rsidRPr="00660EE7">
        <w:t>and healthy in their own</w:t>
      </w:r>
      <w:r w:rsidR="00AB75D5">
        <w:t xml:space="preserve"> homes, where they prefer to be</w:t>
      </w:r>
      <w:r w:rsidRPr="00660EE7">
        <w:t xml:space="preserve"> and where they are less likely to</w:t>
      </w:r>
      <w:r w:rsidR="0009261B" w:rsidRPr="00660EE7">
        <w:t xml:space="preserve"> </w:t>
      </w:r>
      <w:r w:rsidRPr="00660EE7">
        <w:t>need more costly hospital and institutional care paid for through Medicare and Medicaid.</w:t>
      </w:r>
    </w:p>
    <w:p w:rsidR="0009261B" w:rsidRPr="00660EE7" w:rsidRDefault="0009261B" w:rsidP="00844C71">
      <w:pPr>
        <w:spacing w:after="0" w:line="240" w:lineRule="auto"/>
      </w:pPr>
    </w:p>
    <w:p w:rsidR="00BB515C" w:rsidRPr="00660EE7" w:rsidRDefault="00BB515C" w:rsidP="00844C71">
      <w:pPr>
        <w:spacing w:after="0" w:line="240" w:lineRule="auto"/>
      </w:pPr>
      <w:r w:rsidRPr="00660EE7">
        <w:t>Despite these successes and efficiencies, funding for the OAA has not kept pace with inflation</w:t>
      </w:r>
      <w:r w:rsidR="0009261B" w:rsidRPr="00660EE7">
        <w:t xml:space="preserve"> </w:t>
      </w:r>
      <w:r w:rsidRPr="00660EE7">
        <w:t>or population growth for years, and current levels are insufficient to meet burgeoning needs.</w:t>
      </w:r>
    </w:p>
    <w:p w:rsidR="0009261B" w:rsidRPr="00660EE7" w:rsidRDefault="0009261B" w:rsidP="00844C71">
      <w:pPr>
        <w:spacing w:after="0" w:line="240" w:lineRule="auto"/>
        <w:rPr>
          <w:sz w:val="24"/>
          <w:szCs w:val="24"/>
        </w:rPr>
      </w:pPr>
    </w:p>
    <w:p w:rsidR="00BB515C" w:rsidRPr="006C52AD" w:rsidRDefault="00BB515C" w:rsidP="00844C71">
      <w:pPr>
        <w:spacing w:after="0" w:line="240" w:lineRule="auto"/>
        <w:rPr>
          <w:b/>
          <w:i/>
          <w:iCs/>
        </w:rPr>
      </w:pPr>
      <w:r w:rsidRPr="006C52AD">
        <w:rPr>
          <w:b/>
          <w:i/>
          <w:iCs/>
        </w:rPr>
        <w:t>Growing Population &amp; Need, Yet Declining Resources</w:t>
      </w:r>
    </w:p>
    <w:p w:rsidR="00A12312" w:rsidRPr="00660EE7" w:rsidRDefault="00A12312" w:rsidP="00844C71">
      <w:pPr>
        <w:spacing w:after="0" w:line="240" w:lineRule="auto"/>
        <w:rPr>
          <w:b/>
          <w:sz w:val="24"/>
          <w:szCs w:val="24"/>
        </w:rPr>
      </w:pPr>
    </w:p>
    <w:p w:rsidR="00442BC0" w:rsidRDefault="00DA14E1" w:rsidP="00844C71">
      <w:pPr>
        <w:spacing w:after="0" w:line="240" w:lineRule="auto"/>
      </w:pPr>
      <w:r w:rsidRPr="00DA14E1">
        <w:t>The maturing of America’s Baby Boomer generation is ushering in a long-term shift in the demographic composition of the country. With each passing day, an additional 10,000 Boomers turn 65</w:t>
      </w:r>
      <w:r>
        <w:t>. Since 2004, the population of older adults has increased by over 30 percent</w:t>
      </w:r>
      <w:r w:rsidRPr="00DA14E1">
        <w:t>, and by 2030, 74 million</w:t>
      </w:r>
      <w:r w:rsidR="008B5A50">
        <w:t xml:space="preserve"> – </w:t>
      </w:r>
      <w:r w:rsidRPr="00DA14E1">
        <w:t>or one in five</w:t>
      </w:r>
      <w:r w:rsidR="008B5A50">
        <w:t xml:space="preserve"> – </w:t>
      </w:r>
      <w:r w:rsidRPr="00DA14E1">
        <w:t xml:space="preserve">people in America will be 65 or older. </w:t>
      </w:r>
      <w:r w:rsidR="00201FF0">
        <w:t>Among this growing population of older adults, m</w:t>
      </w:r>
      <w:r w:rsidR="00201FF0" w:rsidRPr="00660EE7">
        <w:t>ore than 90</w:t>
      </w:r>
      <w:r w:rsidR="00201FF0">
        <w:t xml:space="preserve"> percent</w:t>
      </w:r>
      <w:r w:rsidR="00201FF0" w:rsidRPr="00660EE7">
        <w:t xml:space="preserve"> </w:t>
      </w:r>
      <w:r w:rsidR="00201FF0">
        <w:t>has</w:t>
      </w:r>
      <w:r w:rsidR="00201FF0" w:rsidRPr="00660EE7">
        <w:t xml:space="preserve"> at least one chronic condition</w:t>
      </w:r>
      <w:r w:rsidR="00201FF0">
        <w:t>;</w:t>
      </w:r>
      <w:r w:rsidR="00201FF0" w:rsidRPr="00660EE7">
        <w:t xml:space="preserve"> 4.2 million live in poverty</w:t>
      </w:r>
      <w:r w:rsidR="00201FF0">
        <w:t>;</w:t>
      </w:r>
      <w:r w:rsidR="00201FF0" w:rsidRPr="00660EE7">
        <w:t xml:space="preserve"> the unemployment rate of low-income older workers is nearly three times higher than the overall jobless rate</w:t>
      </w:r>
      <w:r w:rsidR="00201FF0">
        <w:t>;</w:t>
      </w:r>
      <w:r w:rsidR="00201FF0" w:rsidRPr="00660EE7">
        <w:t xml:space="preserve"> and one in </w:t>
      </w:r>
      <w:r w:rsidR="00201FF0">
        <w:t>six</w:t>
      </w:r>
      <w:r w:rsidR="00201FF0" w:rsidRPr="00660EE7">
        <w:t xml:space="preserve"> seniors struggles with hunger.</w:t>
      </w:r>
      <w:r w:rsidR="00201FF0">
        <w:t xml:space="preserve"> </w:t>
      </w:r>
    </w:p>
    <w:p w:rsidR="00442BC0" w:rsidRDefault="00442BC0" w:rsidP="00844C71">
      <w:pPr>
        <w:spacing w:after="0" w:line="240" w:lineRule="auto"/>
      </w:pPr>
    </w:p>
    <w:p w:rsidR="00C03CD2" w:rsidRPr="00660EE7" w:rsidRDefault="00DA14E1" w:rsidP="00844C71">
      <w:pPr>
        <w:spacing w:after="0" w:line="240" w:lineRule="auto"/>
      </w:pPr>
      <w:r>
        <w:t xml:space="preserve">Despite </w:t>
      </w:r>
      <w:r w:rsidR="00442BC0">
        <w:t>a</w:t>
      </w:r>
      <w:r>
        <w:t xml:space="preserve"> growing population </w:t>
      </w:r>
      <w:r w:rsidR="00442BC0">
        <w:t>and i</w:t>
      </w:r>
      <w:r>
        <w:t xml:space="preserve">ncreasing need for services and supports </w:t>
      </w:r>
      <w:r w:rsidR="00442BC0">
        <w:t>to</w:t>
      </w:r>
      <w:r>
        <w:t xml:space="preserve"> enable aging in place</w:t>
      </w:r>
      <w:r w:rsidR="00C03CD2" w:rsidRPr="00660EE7">
        <w:t>, funding for OAA programs is roughly the same as it was in 2004</w:t>
      </w:r>
      <w:r>
        <w:t xml:space="preserve">. </w:t>
      </w:r>
      <w:r w:rsidR="00C03CD2" w:rsidRPr="00660EE7">
        <w:t>Not only are OAA appropriations not keeping pace with the growing population, but funding for these critical programs has also lagged</w:t>
      </w:r>
      <w:r w:rsidR="00BB515C" w:rsidRPr="00660EE7">
        <w:t xml:space="preserve"> behind the costs of fuel, commodities and</w:t>
      </w:r>
      <w:r w:rsidR="0009261B" w:rsidRPr="00660EE7">
        <w:t xml:space="preserve"> </w:t>
      </w:r>
      <w:r w:rsidR="00BB515C" w:rsidRPr="00660EE7">
        <w:t>wages. Additionally, cuts to discretionary</w:t>
      </w:r>
      <w:r w:rsidR="0009261B" w:rsidRPr="00660EE7">
        <w:t xml:space="preserve"> </w:t>
      </w:r>
      <w:r w:rsidR="00BB515C" w:rsidRPr="00660EE7">
        <w:t>programs enacted in recent years have further threatened the sustainability</w:t>
      </w:r>
      <w:r w:rsidR="000903D6" w:rsidRPr="00660EE7">
        <w:t xml:space="preserve"> </w:t>
      </w:r>
      <w:r w:rsidR="00BB515C" w:rsidRPr="00660EE7">
        <w:t>of these critical</w:t>
      </w:r>
      <w:r w:rsidR="0009261B" w:rsidRPr="00660EE7">
        <w:t xml:space="preserve"> </w:t>
      </w:r>
      <w:r w:rsidR="00BB515C" w:rsidRPr="00660EE7">
        <w:t>programs.</w:t>
      </w:r>
      <w:r w:rsidR="0009261B" w:rsidRPr="00660EE7">
        <w:t xml:space="preserve"> </w:t>
      </w:r>
      <w:r w:rsidR="00442BC0">
        <w:t>Freezing</w:t>
      </w:r>
      <w:r w:rsidR="00442BC0" w:rsidRPr="00660EE7">
        <w:t xml:space="preserve"> or cutting already insufficient funding for programs that address these complex needs fails to recognize our nation’s changing demographics or the needs of </w:t>
      </w:r>
      <w:r w:rsidR="00442BC0">
        <w:t>older Americans</w:t>
      </w:r>
      <w:r w:rsidR="00442BC0" w:rsidRPr="00660EE7">
        <w:t xml:space="preserve"> and their families</w:t>
      </w:r>
    </w:p>
    <w:p w:rsidR="00DA1A01" w:rsidRDefault="00DA1A01" w:rsidP="00844C71">
      <w:pPr>
        <w:spacing w:after="0" w:line="240" w:lineRule="auto"/>
      </w:pPr>
    </w:p>
    <w:p w:rsidR="00DA1A01" w:rsidRPr="00660EE7" w:rsidRDefault="00DA1A01" w:rsidP="00844C71">
      <w:pPr>
        <w:spacing w:after="0" w:line="240" w:lineRule="auto"/>
      </w:pPr>
      <w:r w:rsidRPr="00660EE7">
        <w:t xml:space="preserve">. </w:t>
      </w:r>
    </w:p>
    <w:p w:rsidR="00DA1A01" w:rsidRPr="00660EE7" w:rsidRDefault="00DA1A01" w:rsidP="00844C71">
      <w:pPr>
        <w:spacing w:after="0" w:line="240" w:lineRule="auto"/>
      </w:pPr>
    </w:p>
    <w:p w:rsidR="0009261B" w:rsidRDefault="00442BC0" w:rsidP="00844C71">
      <w:pPr>
        <w:spacing w:after="0" w:line="240" w:lineRule="auto"/>
      </w:pPr>
      <w:r>
        <w:lastRenderedPageBreak/>
        <w:t>W</w:t>
      </w:r>
      <w:r w:rsidR="00DA14E1">
        <w:t xml:space="preserve">e appreciate that your </w:t>
      </w:r>
      <w:r w:rsidR="008B5A50">
        <w:t>C</w:t>
      </w:r>
      <w:r w:rsidR="00DA14E1">
        <w:t xml:space="preserve">ommittees have, under the previous </w:t>
      </w:r>
      <w:r w:rsidR="0009261B" w:rsidRPr="00660EE7">
        <w:t xml:space="preserve">Bipartisan Budget </w:t>
      </w:r>
      <w:r w:rsidR="00DA14E1">
        <w:t>Agreements</w:t>
      </w:r>
      <w:r w:rsidR="0009261B" w:rsidRPr="00660EE7">
        <w:t xml:space="preserve"> of</w:t>
      </w:r>
      <w:r w:rsidR="00DA14E1">
        <w:t xml:space="preserve"> 2013 and</w:t>
      </w:r>
      <w:r w:rsidR="0009261B" w:rsidRPr="00660EE7">
        <w:t xml:space="preserve"> 2015</w:t>
      </w:r>
      <w:r>
        <w:t>,</w:t>
      </w:r>
      <w:r w:rsidR="0009261B" w:rsidRPr="00660EE7">
        <w:t xml:space="preserve"> </w:t>
      </w:r>
      <w:r w:rsidR="006D5079">
        <w:t xml:space="preserve">largely protected core OAA programs and restored some of the unfortunate funding erosion experienced during the sequester. However, more must be done to strengthen </w:t>
      </w:r>
      <w:r w:rsidR="0009261B" w:rsidRPr="00660EE7">
        <w:t>OAA programs</w:t>
      </w:r>
      <w:r>
        <w:t>;</w:t>
      </w:r>
      <w:r w:rsidR="0009261B" w:rsidRPr="00660EE7">
        <w:t xml:space="preserve"> to correct some of the losses over the years</w:t>
      </w:r>
      <w:r>
        <w:t>;</w:t>
      </w:r>
      <w:r w:rsidR="0009261B" w:rsidRPr="00660EE7">
        <w:t xml:space="preserve"> and to </w:t>
      </w:r>
      <w:r w:rsidR="00474D58">
        <w:t xml:space="preserve">reduce Medicare and Medicaid </w:t>
      </w:r>
      <w:r w:rsidR="0009261B" w:rsidRPr="00660EE7">
        <w:t xml:space="preserve">expenditures while doing so. </w:t>
      </w:r>
    </w:p>
    <w:p w:rsidR="000903D6" w:rsidRPr="00660EE7" w:rsidRDefault="000903D6" w:rsidP="00844C71">
      <w:pPr>
        <w:spacing w:after="0" w:line="240" w:lineRule="auto"/>
      </w:pPr>
    </w:p>
    <w:p w:rsidR="000903D6" w:rsidRPr="006C52AD" w:rsidRDefault="000903D6" w:rsidP="00844C71">
      <w:pPr>
        <w:spacing w:after="0" w:line="240" w:lineRule="auto"/>
        <w:rPr>
          <w:b/>
          <w:i/>
          <w:iCs/>
        </w:rPr>
      </w:pPr>
      <w:r w:rsidRPr="006C52AD">
        <w:rPr>
          <w:b/>
          <w:i/>
          <w:iCs/>
        </w:rPr>
        <w:t>FY 201</w:t>
      </w:r>
      <w:r w:rsidR="00DA14E1" w:rsidRPr="006C52AD">
        <w:rPr>
          <w:b/>
          <w:i/>
          <w:iCs/>
        </w:rPr>
        <w:t>8</w:t>
      </w:r>
      <w:r w:rsidRPr="006C52AD">
        <w:rPr>
          <w:b/>
          <w:i/>
          <w:iCs/>
        </w:rPr>
        <w:t xml:space="preserve"> Requests</w:t>
      </w:r>
    </w:p>
    <w:p w:rsidR="000903D6" w:rsidRPr="00660EE7" w:rsidRDefault="000903D6" w:rsidP="00844C71">
      <w:pPr>
        <w:spacing w:after="0" w:line="240" w:lineRule="auto"/>
      </w:pPr>
    </w:p>
    <w:p w:rsidR="00DA1A01" w:rsidRPr="00660EE7" w:rsidRDefault="006D5079" w:rsidP="00844C71">
      <w:pPr>
        <w:spacing w:after="0" w:line="240" w:lineRule="auto"/>
      </w:pPr>
      <w:r>
        <w:rPr>
          <w:b/>
        </w:rPr>
        <w:t>While insufficient to</w:t>
      </w:r>
      <w:r w:rsidR="00F73F6B" w:rsidRPr="00660EE7">
        <w:rPr>
          <w:b/>
        </w:rPr>
        <w:t xml:space="preserve"> begin to address </w:t>
      </w:r>
      <w:r w:rsidR="00442BC0">
        <w:rPr>
          <w:b/>
        </w:rPr>
        <w:t>current</w:t>
      </w:r>
      <w:r w:rsidR="00F73F6B" w:rsidRPr="00660EE7">
        <w:rPr>
          <w:b/>
        </w:rPr>
        <w:t xml:space="preserve"> inadequacies, we respectfully ask that,</w:t>
      </w:r>
      <w:r w:rsidR="00346EF9">
        <w:rPr>
          <w:b/>
        </w:rPr>
        <w:t xml:space="preserve"> at </w:t>
      </w:r>
      <w:r>
        <w:rPr>
          <w:b/>
        </w:rPr>
        <w:t xml:space="preserve">minimum in FY 2018, </w:t>
      </w:r>
      <w:r w:rsidR="00346EF9">
        <w:rPr>
          <w:b/>
        </w:rPr>
        <w:t>Congress fund</w:t>
      </w:r>
      <w:r>
        <w:rPr>
          <w:b/>
        </w:rPr>
        <w:t xml:space="preserve"> most </w:t>
      </w:r>
      <w:r w:rsidR="00F73F6B" w:rsidRPr="00660EE7">
        <w:rPr>
          <w:b/>
        </w:rPr>
        <w:t xml:space="preserve">Older Americans Act programs </w:t>
      </w:r>
      <w:r w:rsidR="00346EF9">
        <w:rPr>
          <w:b/>
        </w:rPr>
        <w:t xml:space="preserve">consistent with the levels </w:t>
      </w:r>
      <w:r>
        <w:rPr>
          <w:b/>
        </w:rPr>
        <w:t>included in the bipartisan, unanimously approved, 2016 Older Americans Act Reauthorization</w:t>
      </w:r>
      <w:r w:rsidR="00442BC0">
        <w:rPr>
          <w:b/>
        </w:rPr>
        <w:t xml:space="preserve"> (</w:t>
      </w:r>
      <w:r w:rsidR="00442BC0" w:rsidRPr="00442BC0">
        <w:rPr>
          <w:b/>
        </w:rPr>
        <w:t>P.L. 114–144</w:t>
      </w:r>
      <w:r w:rsidR="00442BC0">
        <w:rPr>
          <w:b/>
        </w:rPr>
        <w:t>)</w:t>
      </w:r>
      <w:r w:rsidR="00790EE4" w:rsidRPr="00660EE7">
        <w:rPr>
          <w:b/>
        </w:rPr>
        <w:t xml:space="preserve">. </w:t>
      </w:r>
    </w:p>
    <w:p w:rsidR="00CE0678" w:rsidRPr="00660EE7" w:rsidRDefault="00CE0678" w:rsidP="00844C71">
      <w:pPr>
        <w:spacing w:after="0" w:line="240" w:lineRule="auto"/>
      </w:pPr>
    </w:p>
    <w:p w:rsidR="002E47DC" w:rsidRDefault="002E47DC" w:rsidP="00844C71">
      <w:pPr>
        <w:spacing w:after="0" w:line="240" w:lineRule="auto"/>
      </w:pPr>
      <w:r>
        <w:t xml:space="preserve">In April 2016, Congress unanimously approved, and President </w:t>
      </w:r>
      <w:r w:rsidR="008B5A50">
        <w:t xml:space="preserve">Obama </w:t>
      </w:r>
      <w:r>
        <w:t xml:space="preserve">signed into law the Older Americans Act Reauthorization. This law includes authorization levels for core OAA programs that, while still insufficient to meet or keep up with a growing need, reflect investments in strengthening these </w:t>
      </w:r>
      <w:r w:rsidR="00442BC0">
        <w:t>services</w:t>
      </w:r>
      <w:r>
        <w:t xml:space="preserve">. In this challenging budget environment, we encourage your committees to, at a minimum, meet the commitments to OAA programs included in the reauthorization. </w:t>
      </w:r>
      <w:r w:rsidR="008760E1" w:rsidRPr="00660EE7">
        <w:t xml:space="preserve">In addition, </w:t>
      </w:r>
      <w:r>
        <w:t xml:space="preserve">while we appreciate that the President’s budget </w:t>
      </w:r>
      <w:r w:rsidR="00442BC0">
        <w:t>spared most</w:t>
      </w:r>
      <w:r>
        <w:t xml:space="preserve"> core OAA </w:t>
      </w:r>
      <w:r w:rsidR="00442BC0">
        <w:t>programs from drastic cuts</w:t>
      </w:r>
      <w:r>
        <w:t>, we urge you to reject flat, or slightly reduced, funding for these key supports and services.</w:t>
      </w:r>
    </w:p>
    <w:p w:rsidR="002E47DC" w:rsidRDefault="002E47DC" w:rsidP="00844C71">
      <w:pPr>
        <w:spacing w:after="0" w:line="240" w:lineRule="auto"/>
      </w:pPr>
    </w:p>
    <w:p w:rsidR="002E47DC" w:rsidRPr="00696338" w:rsidRDefault="00CE0678" w:rsidP="00844C71">
      <w:pPr>
        <w:spacing w:after="0" w:line="240" w:lineRule="auto"/>
        <w:rPr>
          <w:b/>
          <w:i/>
          <w:iCs/>
        </w:rPr>
      </w:pPr>
      <w:r w:rsidRPr="00696338">
        <w:rPr>
          <w:b/>
          <w:i/>
          <w:iCs/>
        </w:rPr>
        <w:t>OAA</w:t>
      </w:r>
      <w:r w:rsidR="00A9591C" w:rsidRPr="00696338">
        <w:rPr>
          <w:b/>
          <w:i/>
          <w:iCs/>
        </w:rPr>
        <w:t xml:space="preserve"> Title</w:t>
      </w:r>
      <w:r w:rsidRPr="00696338">
        <w:rPr>
          <w:b/>
          <w:i/>
          <w:iCs/>
        </w:rPr>
        <w:t xml:space="preserve"> III B Supportive Services</w:t>
      </w:r>
    </w:p>
    <w:p w:rsidR="002E47DC" w:rsidRDefault="002E47DC" w:rsidP="00844C71">
      <w:pPr>
        <w:spacing w:after="0" w:line="240" w:lineRule="auto"/>
        <w:rPr>
          <w:b/>
        </w:rPr>
      </w:pPr>
    </w:p>
    <w:p w:rsidR="002E47DC" w:rsidRPr="000318C2" w:rsidRDefault="000318C2" w:rsidP="00844C71">
      <w:pPr>
        <w:spacing w:after="0" w:line="240" w:lineRule="auto"/>
        <w:rPr>
          <w:bCs/>
        </w:rPr>
      </w:pPr>
      <w:r w:rsidRPr="000318C2">
        <w:rPr>
          <w:bCs/>
        </w:rPr>
        <w:t>Title III B Supportive Services provides flexible local funding to deliver a range of supportive services to seniors. For example, III B supports in-home services, transportation programs, information and referral/assistance services, case management services, home modification and other housing help, chore services, and disaster response efforts targeted to older adults.</w:t>
      </w:r>
      <w:r>
        <w:rPr>
          <w:bCs/>
        </w:rPr>
        <w:t xml:space="preserve"> </w:t>
      </w:r>
      <w:r w:rsidRPr="000318C2">
        <w:rPr>
          <w:bCs/>
        </w:rPr>
        <w:t xml:space="preserve">The flexibility of </w:t>
      </w:r>
      <w:r>
        <w:rPr>
          <w:bCs/>
        </w:rPr>
        <w:t xml:space="preserve">Title III B allow local Area Agencies on Aging </w:t>
      </w:r>
      <w:r w:rsidR="00442BC0">
        <w:rPr>
          <w:bCs/>
        </w:rPr>
        <w:t xml:space="preserve">(AAAs) </w:t>
      </w:r>
      <w:r>
        <w:rPr>
          <w:bCs/>
        </w:rPr>
        <w:t>and community-based service providers to better</w:t>
      </w:r>
      <w:r w:rsidRPr="000318C2">
        <w:rPr>
          <w:bCs/>
        </w:rPr>
        <w:t xml:space="preserve"> meet the </w:t>
      </w:r>
      <w:r>
        <w:rPr>
          <w:bCs/>
        </w:rPr>
        <w:t xml:space="preserve">individual </w:t>
      </w:r>
      <w:r w:rsidRPr="000318C2">
        <w:rPr>
          <w:bCs/>
        </w:rPr>
        <w:t>needs of older adults, as identified at the community level, and often is vital to keeping near-low-income seniors from impoverishment and subsequent Medicaid eligibility. Yet III B remains funded at</w:t>
      </w:r>
      <w:r>
        <w:rPr>
          <w:bCs/>
        </w:rPr>
        <w:t xml:space="preserve"> near</w:t>
      </w:r>
      <w:r w:rsidRPr="000318C2">
        <w:rPr>
          <w:bCs/>
        </w:rPr>
        <w:t xml:space="preserve"> FY 2004 levels</w:t>
      </w:r>
      <w:r w:rsidR="00442BC0">
        <w:rPr>
          <w:bCs/>
        </w:rPr>
        <w:t xml:space="preserve">. We </w:t>
      </w:r>
      <w:r>
        <w:rPr>
          <w:bCs/>
        </w:rPr>
        <w:t>appreciate the first modest increase in III B funding</w:t>
      </w:r>
      <w:r w:rsidR="00442BC0">
        <w:rPr>
          <w:bCs/>
        </w:rPr>
        <w:t xml:space="preserve"> that was</w:t>
      </w:r>
      <w:r>
        <w:rPr>
          <w:bCs/>
        </w:rPr>
        <w:t xml:space="preserve"> inclu</w:t>
      </w:r>
      <w:r w:rsidR="00442BC0">
        <w:rPr>
          <w:bCs/>
        </w:rPr>
        <w:t xml:space="preserve">ded in the FY 2017 funding bill, which was </w:t>
      </w:r>
      <w:r>
        <w:rPr>
          <w:bCs/>
        </w:rPr>
        <w:t xml:space="preserve">the first </w:t>
      </w:r>
      <w:r w:rsidR="00442BC0">
        <w:rPr>
          <w:bCs/>
        </w:rPr>
        <w:t xml:space="preserve">increase for III B funding </w:t>
      </w:r>
      <w:r>
        <w:rPr>
          <w:bCs/>
        </w:rPr>
        <w:t>since this t</w:t>
      </w:r>
      <w:r w:rsidR="00442BC0">
        <w:rPr>
          <w:bCs/>
        </w:rPr>
        <w:t xml:space="preserve">itle was eroded under sequester, </w:t>
      </w:r>
      <w:r>
        <w:rPr>
          <w:bCs/>
        </w:rPr>
        <w:t>funding is still insufficient to meet a growing need</w:t>
      </w:r>
      <w:r w:rsidR="00442BC0">
        <w:rPr>
          <w:bCs/>
        </w:rPr>
        <w:t xml:space="preserve">. Local </w:t>
      </w:r>
      <w:r w:rsidR="0088360D">
        <w:rPr>
          <w:bCs/>
        </w:rPr>
        <w:t xml:space="preserve">agencies are </w:t>
      </w:r>
      <w:r w:rsidRPr="000318C2">
        <w:rPr>
          <w:bCs/>
        </w:rPr>
        <w:t xml:space="preserve">struggling to keep </w:t>
      </w:r>
      <w:r w:rsidR="00442BC0">
        <w:rPr>
          <w:bCs/>
        </w:rPr>
        <w:t>III B</w:t>
      </w:r>
      <w:r w:rsidRPr="000318C2">
        <w:rPr>
          <w:bCs/>
        </w:rPr>
        <w:t xml:space="preserve"> services, and the seniors they help, afloat. This type of imbalance between programs can erode the strength, efficiency and effectiveness of the OAA service delivery network, compromising the seamless, person-centered approach and putting seniors at risk.</w:t>
      </w:r>
      <w:r w:rsidR="0088360D">
        <w:rPr>
          <w:bCs/>
        </w:rPr>
        <w:t xml:space="preserve"> At a minimum, we request that Congress fund OAA Title III B Supportive Services at the $364.5 million level included in the recent OAA reauthorization. </w:t>
      </w:r>
    </w:p>
    <w:p w:rsidR="002E47DC" w:rsidRDefault="002E47DC" w:rsidP="00844C71">
      <w:pPr>
        <w:spacing w:after="0" w:line="240" w:lineRule="auto"/>
        <w:rPr>
          <w:b/>
        </w:rPr>
      </w:pPr>
    </w:p>
    <w:p w:rsidR="0088360D" w:rsidRPr="00696338" w:rsidRDefault="00A9591C" w:rsidP="00844C71">
      <w:pPr>
        <w:spacing w:after="0" w:line="240" w:lineRule="auto"/>
        <w:rPr>
          <w:i/>
          <w:iCs/>
        </w:rPr>
      </w:pPr>
      <w:r w:rsidRPr="00696338">
        <w:rPr>
          <w:b/>
          <w:i/>
          <w:iCs/>
        </w:rPr>
        <w:t xml:space="preserve">OAA Title </w:t>
      </w:r>
      <w:r w:rsidR="00CE0678" w:rsidRPr="00696338">
        <w:rPr>
          <w:b/>
          <w:i/>
          <w:iCs/>
        </w:rPr>
        <w:t xml:space="preserve">III C-1 Congregate Meals </w:t>
      </w:r>
      <w:r w:rsidR="00CE0678" w:rsidRPr="00442BC0">
        <w:rPr>
          <w:b/>
          <w:bCs/>
          <w:i/>
          <w:iCs/>
        </w:rPr>
        <w:t>and</w:t>
      </w:r>
      <w:r w:rsidR="00CE0678" w:rsidRPr="00696338">
        <w:rPr>
          <w:i/>
          <w:iCs/>
        </w:rPr>
        <w:t xml:space="preserve"> </w:t>
      </w:r>
      <w:r w:rsidR="00CE0678" w:rsidRPr="00696338">
        <w:rPr>
          <w:b/>
          <w:i/>
          <w:iCs/>
        </w:rPr>
        <w:t>III C-2 Home-Delivered Meals</w:t>
      </w:r>
      <w:r w:rsidR="00CE0678" w:rsidRPr="00696338">
        <w:rPr>
          <w:i/>
          <w:iCs/>
        </w:rPr>
        <w:t xml:space="preserve"> </w:t>
      </w:r>
    </w:p>
    <w:p w:rsidR="0088360D" w:rsidRDefault="0088360D" w:rsidP="00844C71">
      <w:pPr>
        <w:spacing w:after="0" w:line="240" w:lineRule="auto"/>
      </w:pPr>
    </w:p>
    <w:p w:rsidR="0088360D" w:rsidRDefault="0088360D" w:rsidP="00844C71">
      <w:pPr>
        <w:spacing w:after="0" w:line="240" w:lineRule="auto"/>
      </w:pPr>
      <w:r w:rsidRPr="0088360D">
        <w:t>OAA Title III</w:t>
      </w:r>
      <w:r w:rsidR="008B5A50">
        <w:t xml:space="preserve"> </w:t>
      </w:r>
      <w:r w:rsidRPr="0088360D">
        <w:t xml:space="preserve">C congregate and home-delivered meal programs serve every </w:t>
      </w:r>
      <w:r w:rsidR="00BA13F1">
        <w:t>s</w:t>
      </w:r>
      <w:r w:rsidRPr="0088360D">
        <w:t xml:space="preserve">tate and </w:t>
      </w:r>
      <w:r w:rsidR="008B5A50">
        <w:t>C</w:t>
      </w:r>
      <w:r w:rsidRPr="0088360D">
        <w:t xml:space="preserve">ongressional </w:t>
      </w:r>
      <w:r w:rsidR="008B5A50">
        <w:t>D</w:t>
      </w:r>
      <w:r w:rsidRPr="0088360D">
        <w:t xml:space="preserve">istrict in the United States. More than 2.4 million seniors receive nutritious meals every year, each meal representing half or more of their total daily food intake. Further, for both congregate and home-delivered clients, the companionship provided is critical to reducing isolation, which, as with a nutritious meal, is vitally important to health and quality of life. By delivering nutritious meals, friendly visits, and safety and wellness checks each day, these programs produce concrete results: they are enabling independence and improving the health of our nation’s most vulnerable. At the same time, they save significant taxpayer dollars </w:t>
      </w:r>
      <w:r w:rsidR="00442BC0">
        <w:lastRenderedPageBreak/>
        <w:t>by</w:t>
      </w:r>
      <w:r w:rsidRPr="0088360D">
        <w:t xml:space="preserve"> r</w:t>
      </w:r>
      <w:r w:rsidR="00442BC0">
        <w:t xml:space="preserve">educing healthcare expenditures through </w:t>
      </w:r>
      <w:r w:rsidRPr="0088360D">
        <w:t>preventing unnecessary trips to the emergency room, admissions and readmissions to hospitals</w:t>
      </w:r>
      <w:r w:rsidR="00442BC0">
        <w:t>,</w:t>
      </w:r>
      <w:r w:rsidRPr="0088360D">
        <w:t xml:space="preserve"> and delaying or eliminating the need for nursing home care. LCAO urges that, at a minimum, $874.6 million be appropriated for Title IIIC Nutrition Services </w:t>
      </w:r>
      <w:r w:rsidR="008B5A50">
        <w:t xml:space="preserve">– Congregate, Home-Delivered and the Nutrition Services Incentive Program – </w:t>
      </w:r>
      <w:r w:rsidRPr="0088360D">
        <w:t>for FY</w:t>
      </w:r>
      <w:r w:rsidR="00201FF0">
        <w:t xml:space="preserve"> 20</w:t>
      </w:r>
      <w:r w:rsidRPr="0088360D">
        <w:t>18, as approved by Congress in the bipartisan 2016 OAA reauthorization.</w:t>
      </w:r>
    </w:p>
    <w:p w:rsidR="00A9591C" w:rsidRDefault="00A9591C" w:rsidP="00844C71">
      <w:pPr>
        <w:spacing w:after="0" w:line="240" w:lineRule="auto"/>
      </w:pPr>
    </w:p>
    <w:p w:rsidR="00A9591C" w:rsidRPr="00696338" w:rsidRDefault="00A9591C" w:rsidP="00844C71">
      <w:pPr>
        <w:spacing w:after="0" w:line="240" w:lineRule="auto"/>
        <w:rPr>
          <w:b/>
          <w:bCs/>
          <w:i/>
          <w:iCs/>
        </w:rPr>
      </w:pPr>
      <w:r w:rsidRPr="00696338">
        <w:rPr>
          <w:b/>
          <w:bCs/>
          <w:i/>
          <w:iCs/>
        </w:rPr>
        <w:t xml:space="preserve">OAA Title III D Preventive Health Services </w:t>
      </w:r>
    </w:p>
    <w:p w:rsidR="00A9591C" w:rsidRDefault="00A9591C" w:rsidP="00844C71">
      <w:pPr>
        <w:spacing w:after="0" w:line="240" w:lineRule="auto"/>
      </w:pPr>
    </w:p>
    <w:p w:rsidR="00A9591C" w:rsidRDefault="00A9591C" w:rsidP="00844C71">
      <w:pPr>
        <w:spacing w:after="0" w:line="240" w:lineRule="auto"/>
      </w:pPr>
      <w:r>
        <w:t xml:space="preserve">Preventive Health Services provides formula grants to </w:t>
      </w:r>
      <w:r w:rsidR="00BA13F1">
        <w:t>s</w:t>
      </w:r>
      <w:r>
        <w:t xml:space="preserve">tates and Territories to support the Aging Network’s delivery of evidence-based programs to empower older adults to sustain or improve their health, prevent or ameliorate chronic conditions, reduce health care costs and enhance their ability to live independently. At least two-thirds of those receiving OAA services report taking at least three prescription medications daily, and at least </w:t>
      </w:r>
      <w:r w:rsidR="00442BC0">
        <w:t>one-f</w:t>
      </w:r>
      <w:r>
        <w:t xml:space="preserve">ifth had hospital stay in the past year. Demand for tools for health promotion and disease prevention is evidenced by over 65 percent of those served by OAA in 2015 reporting that they learned how to take care of a chronic illness or medical condition. Similar to other OAA programs, Preventive Health Services funding has been stagnant and subject to sequestration over the past decade, falling far short of the increased numbers and demand for these evidence-based strategies. </w:t>
      </w:r>
      <w:r w:rsidR="00442BC0">
        <w:t>LCOA</w:t>
      </w:r>
      <w:r>
        <w:t xml:space="preserve"> urges that, at a minimum, $20.8 million be appropriated for Preventive Health Services for FY</w:t>
      </w:r>
      <w:r w:rsidR="00201FF0">
        <w:t xml:space="preserve"> 20</w:t>
      </w:r>
      <w:r>
        <w:t xml:space="preserve">18, as approved by Congress in the bipartisan 2016 OAA reauthorization. </w:t>
      </w:r>
    </w:p>
    <w:p w:rsidR="00A9591C" w:rsidRDefault="00A9591C" w:rsidP="00844C71">
      <w:pPr>
        <w:spacing w:after="0" w:line="240" w:lineRule="auto"/>
      </w:pPr>
    </w:p>
    <w:p w:rsidR="00A9591C" w:rsidRPr="00696338" w:rsidRDefault="00A9591C" w:rsidP="00844C71">
      <w:pPr>
        <w:spacing w:after="0" w:line="240" w:lineRule="auto"/>
        <w:rPr>
          <w:b/>
          <w:bCs/>
          <w:i/>
          <w:iCs/>
        </w:rPr>
      </w:pPr>
      <w:r w:rsidRPr="00696338">
        <w:rPr>
          <w:b/>
          <w:bCs/>
          <w:i/>
          <w:iCs/>
        </w:rPr>
        <w:t xml:space="preserve">OAA Title III E National Family Caregiver Support Program </w:t>
      </w:r>
    </w:p>
    <w:p w:rsidR="00A9591C" w:rsidRDefault="00A9591C" w:rsidP="00844C71">
      <w:pPr>
        <w:spacing w:after="0" w:line="240" w:lineRule="auto"/>
      </w:pPr>
    </w:p>
    <w:p w:rsidR="00A9591C" w:rsidRDefault="00A9591C" w:rsidP="00844C71">
      <w:pPr>
        <w:spacing w:after="0" w:line="240" w:lineRule="auto"/>
      </w:pPr>
      <w:r>
        <w:t>Forty-three million family caregivers provide a vast majority of our nation’s long-term services and supports</w:t>
      </w:r>
      <w:r w:rsidR="00442BC0">
        <w:t xml:space="preserve"> (LTSS)</w:t>
      </w:r>
      <w:r>
        <w:t>, permitting individuals of all ages to remain in their communities and avoid or delay more costly nursing home, but several factors including financial constraints, work and family demands, and the challenges of providing care place great pressure on family caregivers. Better support for informal caregivers is critical because often it is their availability</w:t>
      </w:r>
      <w:r w:rsidR="00567C18">
        <w:t xml:space="preserve"> – </w:t>
      </w:r>
      <w:r>
        <w:t>whether they are family members or unrelated friends and neighbors who dedicate their time</w:t>
      </w:r>
      <w:r w:rsidR="00567C18">
        <w:t xml:space="preserve"> – </w:t>
      </w:r>
      <w:r>
        <w:t xml:space="preserve">that determine whether an older person can remain in his or her home. The </w:t>
      </w:r>
      <w:r w:rsidR="00442BC0">
        <w:t xml:space="preserve">annual </w:t>
      </w:r>
      <w:r>
        <w:t xml:space="preserve">economic </w:t>
      </w:r>
      <w:r w:rsidR="00442BC0">
        <w:t xml:space="preserve">value of </w:t>
      </w:r>
      <w:r>
        <w:t xml:space="preserve">unpaid caregiving </w:t>
      </w:r>
      <w:r w:rsidR="00442BC0">
        <w:t>for</w:t>
      </w:r>
      <w:r>
        <w:t xml:space="preserve"> elderly adults is estimated </w:t>
      </w:r>
      <w:r w:rsidR="00442BC0">
        <w:t xml:space="preserve">at </w:t>
      </w:r>
      <w:r>
        <w:t>$470 billion</w:t>
      </w:r>
      <w:r w:rsidR="00442BC0">
        <w:t>, which rivals the whole Medicaid budget</w:t>
      </w:r>
      <w:r>
        <w:t>.</w:t>
      </w:r>
    </w:p>
    <w:p w:rsidR="00A9591C" w:rsidRDefault="00A9591C" w:rsidP="00844C71">
      <w:pPr>
        <w:spacing w:after="0" w:line="240" w:lineRule="auto"/>
      </w:pPr>
    </w:p>
    <w:p w:rsidR="00A9591C" w:rsidRDefault="00A9591C" w:rsidP="00844C71">
      <w:pPr>
        <w:spacing w:after="0" w:line="240" w:lineRule="auto"/>
      </w:pPr>
      <w:r>
        <w:t>Title III E of the OAA provides funding to state and local programs to assist caregivers of older Americans in many ways. ACL’s caregiver programs provide services that address the needs of unpaid, informal caregivers, allowing many of them to continue to work while providing critically needed care. The National Family Caregiver Support Program (NFCSP) was the first federal program to recognize the needs of the nation’s family caregivers. Relatives of older Americans providing in-home care qualify for supportive services; state and local agencies may provide caregivers with information and assistance about available services for older Americans; individual counseling and training assists caregivers in decision making; "respite care" provides temporary relief to caregivers of their responsibilities; and supplemental services complement the caregiver's activities. We are requesting that, at a minimum, you fund</w:t>
      </w:r>
      <w:r w:rsidR="00442BC0">
        <w:t xml:space="preserve"> OAA</w:t>
      </w:r>
      <w:r>
        <w:t xml:space="preserve"> Title III </w:t>
      </w:r>
      <w:r w:rsidR="00844C71">
        <w:t>E National</w:t>
      </w:r>
      <w:r>
        <w:t xml:space="preserve"> Family Caregiver Support Program at $158 million, reflecting the level approved in the recent Older Americans Act reauthorization.</w:t>
      </w:r>
    </w:p>
    <w:p w:rsidR="00A9591C" w:rsidRDefault="00A9591C" w:rsidP="00844C71">
      <w:pPr>
        <w:spacing w:after="0" w:line="240" w:lineRule="auto"/>
      </w:pPr>
    </w:p>
    <w:p w:rsidR="00A9591C" w:rsidRPr="00696338" w:rsidRDefault="00A9591C" w:rsidP="00844C71">
      <w:pPr>
        <w:spacing w:after="0" w:line="240" w:lineRule="auto"/>
        <w:rPr>
          <w:b/>
          <w:bCs/>
          <w:i/>
          <w:iCs/>
        </w:rPr>
      </w:pPr>
      <w:r w:rsidRPr="00696338">
        <w:rPr>
          <w:b/>
          <w:bCs/>
          <w:i/>
          <w:iCs/>
        </w:rPr>
        <w:t xml:space="preserve">OAA Title IV Chronic Disease Self-Management Education </w:t>
      </w:r>
    </w:p>
    <w:p w:rsidR="00A9591C" w:rsidRDefault="00A9591C" w:rsidP="00844C71">
      <w:pPr>
        <w:spacing w:after="0" w:line="240" w:lineRule="auto"/>
      </w:pPr>
    </w:p>
    <w:p w:rsidR="00A9591C" w:rsidRDefault="00A9591C" w:rsidP="00844C71">
      <w:pPr>
        <w:spacing w:after="0" w:line="240" w:lineRule="auto"/>
      </w:pPr>
      <w:r>
        <w:t xml:space="preserve">Chronic diseases account for more than 70 percent of deaths in the United States. Older Americans are disproportionately affected by these conditions, which account for more than three-quarters of all health expenditures and 95 percent of health care costs for older adults. </w:t>
      </w:r>
      <w:r>
        <w:lastRenderedPageBreak/>
        <w:t>Over 90 percent of older adults have at least one chronic disease and two-thirds have two or more. Data show that as an individual’s number of chronic conditions increases, there is a corresponding escalation in unfavorable outcomes including poor functional status, unnecessary hospitalizations, adverse drug events, duplicative tests, and conflicting medical advice – all of which lead to higher health costs and</w:t>
      </w:r>
      <w:r w:rsidR="00442BC0">
        <w:t xml:space="preserve"> ultimately</w:t>
      </w:r>
      <w:r>
        <w:t xml:space="preserve"> increased Medicare and Medicaid spending. </w:t>
      </w:r>
    </w:p>
    <w:p w:rsidR="00A9591C" w:rsidRDefault="00A9591C" w:rsidP="00844C71">
      <w:pPr>
        <w:spacing w:after="0" w:line="240" w:lineRule="auto"/>
      </w:pPr>
    </w:p>
    <w:p w:rsidR="00A9591C" w:rsidRDefault="00A9591C" w:rsidP="00844C71">
      <w:pPr>
        <w:spacing w:after="0" w:line="240" w:lineRule="auto"/>
      </w:pPr>
      <w:r>
        <w:t>Chronic Disease Self-Management Education (CDSME) is a low-cost, evidence-based disease management intervention that utilizes state-of-the-art techniques to help those with chronic diseases take personal responsibility in managing their conditions,</w:t>
      </w:r>
      <w:r w:rsidR="00442BC0">
        <w:t xml:space="preserve"> thereby</w:t>
      </w:r>
      <w:r>
        <w:t xml:space="preserve"> improving health status, and reducing their need for more costly medical care. </w:t>
      </w:r>
      <w:r w:rsidR="00442BC0">
        <w:t xml:space="preserve">In repeated studies, </w:t>
      </w:r>
      <w:r>
        <w:t xml:space="preserve">CDSME </w:t>
      </w:r>
      <w:r w:rsidR="00442BC0">
        <w:t>has shown</w:t>
      </w:r>
      <w:r>
        <w:t xml:space="preserve"> to be effective at helping people with all types of chronic conditions adopt healthy behaviors, improve health status and reduce use of hospital stays and emergency room visits.</w:t>
      </w:r>
    </w:p>
    <w:p w:rsidR="00A9591C" w:rsidRDefault="00A9591C" w:rsidP="00844C71">
      <w:pPr>
        <w:spacing w:after="0" w:line="240" w:lineRule="auto"/>
      </w:pPr>
    </w:p>
    <w:p w:rsidR="00A9591C" w:rsidRDefault="00A9591C" w:rsidP="00844C71">
      <w:pPr>
        <w:spacing w:after="0" w:line="240" w:lineRule="auto"/>
      </w:pPr>
      <w:r>
        <w:t>The Administration has proposed reducing FY</w:t>
      </w:r>
      <w:r w:rsidR="00201FF0">
        <w:t xml:space="preserve"> 20</w:t>
      </w:r>
      <w:r>
        <w:t>18 funding from the FY</w:t>
      </w:r>
      <w:r w:rsidR="00201FF0">
        <w:t xml:space="preserve"> 20</w:t>
      </w:r>
      <w:r>
        <w:t>17 level of $8 million to $5 million and altering the source from an allocation from the Prevention and Public Health Fund (PPHF) to an annual appropriation. LCAO urges, at a minimum, that CDSME funding be maintained at $8 million. The current funding level has supported 20 grants in 17 states since 2015, with grants for eight grantees in eight states ending in August 2017. LCAO also believes in the importance of investing in prevention for older adults, with funding for proven, cost-effective programs such as CDSME, and urges Congress to reject elimination of the PPHF along with the repeal of the Affordable Care Act and continue to provide allocations for the evidence-based healthy aging programs at the Administration for Community Living.</w:t>
      </w:r>
    </w:p>
    <w:p w:rsidR="00A9591C" w:rsidRDefault="00A9591C" w:rsidP="00844C71">
      <w:pPr>
        <w:spacing w:after="0" w:line="240" w:lineRule="auto"/>
      </w:pPr>
    </w:p>
    <w:p w:rsidR="00346EF9" w:rsidRPr="00696338" w:rsidRDefault="00346EF9" w:rsidP="00844C71">
      <w:pPr>
        <w:spacing w:after="0" w:line="240" w:lineRule="auto"/>
        <w:rPr>
          <w:b/>
          <w:bCs/>
          <w:i/>
          <w:iCs/>
        </w:rPr>
      </w:pPr>
      <w:r w:rsidRPr="00696338">
        <w:rPr>
          <w:b/>
          <w:bCs/>
          <w:i/>
          <w:iCs/>
        </w:rPr>
        <w:t>OAA</w:t>
      </w:r>
      <w:r w:rsidR="00A9591C" w:rsidRPr="00696338">
        <w:rPr>
          <w:b/>
          <w:bCs/>
          <w:i/>
          <w:iCs/>
        </w:rPr>
        <w:t xml:space="preserve"> Title IV Falls Prevention </w:t>
      </w:r>
    </w:p>
    <w:p w:rsidR="00346EF9" w:rsidRDefault="00346EF9" w:rsidP="00844C71">
      <w:pPr>
        <w:spacing w:after="0" w:line="240" w:lineRule="auto"/>
      </w:pPr>
    </w:p>
    <w:p w:rsidR="00A9591C" w:rsidRDefault="00A9591C" w:rsidP="00844C71">
      <w:pPr>
        <w:spacing w:after="0" w:line="240" w:lineRule="auto"/>
      </w:pPr>
      <w:r>
        <w:t xml:space="preserve">Each year, one in three Americans aged 65 and over falls. Falls are the leading cause of both fatal and nonfatal injuries for those 65 and over. In 2014, 27,000 older adults died from falls, and 2.8 million nonfatal fall injuries were treated in emergency departments </w:t>
      </w:r>
      <w:r w:rsidR="00D6505E">
        <w:t>resulting in more than</w:t>
      </w:r>
      <w:r>
        <w:t xml:space="preserve"> 800,000</w:t>
      </w:r>
      <w:r w:rsidR="00D6505E">
        <w:t xml:space="preserve"> hospitalizations</w:t>
      </w:r>
      <w:r>
        <w:t>.</w:t>
      </w:r>
      <w:r w:rsidR="00D6505E">
        <w:t xml:space="preserve"> One out of every five older patients who have a hip fracture </w:t>
      </w:r>
      <w:r>
        <w:t>die within a year, and nearly half of seniors’ fatal falls are a result of traumatic brain injuries.</w:t>
      </w:r>
    </w:p>
    <w:p w:rsidR="00A9591C" w:rsidRDefault="00A9591C" w:rsidP="00844C71">
      <w:pPr>
        <w:spacing w:after="0" w:line="240" w:lineRule="auto"/>
      </w:pPr>
    </w:p>
    <w:p w:rsidR="00A9591C" w:rsidRDefault="00A9591C" w:rsidP="00844C71">
      <w:pPr>
        <w:spacing w:after="0" w:line="240" w:lineRule="auto"/>
      </w:pPr>
      <w:r>
        <w:t xml:space="preserve">The nation is spending over $31 billion annually on Medicare costs </w:t>
      </w:r>
      <w:r w:rsidR="00D6505E">
        <w:t>resulting</w:t>
      </w:r>
      <w:r>
        <w:t xml:space="preserve"> from elder falls. If we cannot stem the rate of falls, it is projected that the total direct medical cost in 2020 would be $67.7 billion, including Medicare costs estimated at about $52 billion. Evidence-based fall prevention programs offer cost-effective interventions by reducing or eliminating risk factors, offering treatments that promote behavior change, and leveraging community networks to link clinical treatment and community services. These programs have been shown to reduce the incidence of falls by as much as 55 percent, and produce a return on investment of as much as 509 percent.</w:t>
      </w:r>
    </w:p>
    <w:p w:rsidR="00A9591C" w:rsidRDefault="00A9591C" w:rsidP="00844C71">
      <w:pPr>
        <w:spacing w:after="0" w:line="240" w:lineRule="auto"/>
      </w:pPr>
    </w:p>
    <w:p w:rsidR="00A9591C" w:rsidRDefault="00A9591C" w:rsidP="00844C71">
      <w:pPr>
        <w:spacing w:after="0" w:line="240" w:lineRule="auto"/>
      </w:pPr>
      <w:r>
        <w:t>The Administration has proposed level funding of $5 million in FY</w:t>
      </w:r>
      <w:r w:rsidR="00201FF0">
        <w:t xml:space="preserve"> 20</w:t>
      </w:r>
      <w:r>
        <w:t>18 and altering the source from an allocation from the Prevention and Public Health Fund (PPHF) to an annual appropriation. LCAO urges, at a minimum, that $5 million be provided for fall prevention activities at ACL. The current funding level has supported 24 grants to public and private nonprofit entities in 21 states, and 8 grants to tribal organizations. LCAO also believes in the importance of investing in prevention for older adults, with funding for proven, cost-effective programs such as fall prevention</w:t>
      </w:r>
      <w:r w:rsidR="00D6505E">
        <w:t>,</w:t>
      </w:r>
      <w:r>
        <w:t xml:space="preserve"> and urges Congress to reject elimination of the PPHF along with the repeal of the Affordable Care Act and continue to provide allocations for the evidence-based healthy aging programs at the Administration for Community Living.</w:t>
      </w:r>
    </w:p>
    <w:p w:rsidR="0088360D" w:rsidRDefault="0088360D" w:rsidP="00844C71">
      <w:pPr>
        <w:spacing w:after="0" w:line="240" w:lineRule="auto"/>
      </w:pPr>
    </w:p>
    <w:p w:rsidR="00346EF9" w:rsidRPr="00696338" w:rsidRDefault="00346EF9" w:rsidP="00844C71">
      <w:pPr>
        <w:spacing w:after="0" w:line="240" w:lineRule="auto"/>
        <w:rPr>
          <w:b/>
          <w:bCs/>
          <w:i/>
          <w:iCs/>
        </w:rPr>
      </w:pPr>
      <w:r w:rsidRPr="00696338">
        <w:rPr>
          <w:b/>
          <w:bCs/>
          <w:i/>
          <w:iCs/>
        </w:rPr>
        <w:t>OAA Title VI Native American and Native Alaskan/Hawaiian Aging Programs</w:t>
      </w:r>
    </w:p>
    <w:p w:rsidR="00346EF9" w:rsidRDefault="00346EF9" w:rsidP="00844C71">
      <w:pPr>
        <w:spacing w:after="0" w:line="240" w:lineRule="auto"/>
      </w:pPr>
    </w:p>
    <w:p w:rsidR="00346EF9" w:rsidRDefault="00346EF9" w:rsidP="00844C71">
      <w:pPr>
        <w:spacing w:after="0" w:line="240" w:lineRule="auto"/>
      </w:pPr>
      <w:r w:rsidRPr="00346EF9">
        <w:t xml:space="preserve">OAA Title VI Native American </w:t>
      </w:r>
      <w:r>
        <w:t>aging programs</w:t>
      </w:r>
      <w:r w:rsidRPr="00346EF9">
        <w:t xml:space="preserve"> fund nutrition and family caregiver support services to Native American (Indian, Alaskan and Hawaiian) elders. This population is among the most economically disadvantaged in the country and the population of Native American elders 6</w:t>
      </w:r>
      <w:r>
        <w:t>5+ is expected to grow by 115 percent</w:t>
      </w:r>
      <w:r w:rsidRPr="00346EF9">
        <w:t xml:space="preserve"> by 2030. We </w:t>
      </w:r>
      <w:r>
        <w:t xml:space="preserve">appreciate and </w:t>
      </w:r>
      <w:r w:rsidRPr="00346EF9">
        <w:t>support the funding increases for T</w:t>
      </w:r>
      <w:r>
        <w:t>itle VI programs provided in the recent FY 2016 and</w:t>
      </w:r>
      <w:r w:rsidRPr="00346EF9">
        <w:t xml:space="preserve"> FY</w:t>
      </w:r>
      <w:r>
        <w:t xml:space="preserve"> </w:t>
      </w:r>
      <w:r w:rsidRPr="00346EF9">
        <w:t xml:space="preserve">2017 </w:t>
      </w:r>
      <w:r>
        <w:t>funding</w:t>
      </w:r>
      <w:r w:rsidRPr="00346EF9">
        <w:t xml:space="preserve"> bill</w:t>
      </w:r>
      <w:r>
        <w:t>s</w:t>
      </w:r>
      <w:r w:rsidR="00D6505E">
        <w:t>,</w:t>
      </w:r>
      <w:r w:rsidRPr="00346EF9">
        <w:t xml:space="preserve"> and hope that Congress will continue to build on these funding increases in FY 2018.</w:t>
      </w:r>
    </w:p>
    <w:p w:rsidR="0088360D" w:rsidRDefault="0088360D" w:rsidP="00844C71">
      <w:pPr>
        <w:spacing w:after="0" w:line="240" w:lineRule="auto"/>
      </w:pPr>
    </w:p>
    <w:p w:rsidR="00346EF9" w:rsidRPr="00696338" w:rsidRDefault="00346EF9" w:rsidP="00844C71">
      <w:pPr>
        <w:spacing w:after="0" w:line="240" w:lineRule="auto"/>
        <w:rPr>
          <w:b/>
          <w:bCs/>
          <w:i/>
          <w:iCs/>
        </w:rPr>
      </w:pPr>
      <w:r w:rsidRPr="00696338">
        <w:rPr>
          <w:b/>
          <w:bCs/>
          <w:i/>
          <w:iCs/>
        </w:rPr>
        <w:t>OAA Title VII Long-Term Care Ombudsman and Prevention of Elder Abuse</w:t>
      </w:r>
    </w:p>
    <w:p w:rsidR="00346EF9" w:rsidRDefault="00346EF9" w:rsidP="00844C71">
      <w:pPr>
        <w:spacing w:after="0" w:line="240" w:lineRule="auto"/>
      </w:pPr>
    </w:p>
    <w:p w:rsidR="00346EF9" w:rsidRDefault="00346EF9" w:rsidP="00844C71">
      <w:pPr>
        <w:spacing w:after="0" w:line="240" w:lineRule="auto"/>
      </w:pPr>
      <w:r>
        <w:t xml:space="preserve">OAA Title VII </w:t>
      </w:r>
      <w:r w:rsidRPr="00346EF9">
        <w:t>funds ombudsmen and their trained volunteers who advocate for residents of long-term care facilities to resolve quality-of-life concerns and care problems, protect residents’ rights, and improve the long-term</w:t>
      </w:r>
      <w:r w:rsidR="00D6505E">
        <w:t xml:space="preserve"> supports and services system. </w:t>
      </w:r>
      <w:r w:rsidRPr="00346EF9">
        <w:t>Elder abuse, neglect, and exploitation prevention programs are also supported under this title and include prevention, detection, assessment, treatme</w:t>
      </w:r>
      <w:r>
        <w:t>nt and intervention activities.</w:t>
      </w:r>
      <w:r w:rsidRPr="00346EF9">
        <w:t xml:space="preserve"> These programs serve some of the most vulnerable older Americans in the country, and funding for OAA Title VII programs has not received any restoration from FY 2013 sequestration cuts.</w:t>
      </w:r>
      <w:r>
        <w:t xml:space="preserve"> We support, at a minimum, funding these programs at the $21.6 million included in the recent OAA reauthorization. </w:t>
      </w:r>
    </w:p>
    <w:p w:rsidR="00346EF9" w:rsidRDefault="00346EF9" w:rsidP="00844C71">
      <w:pPr>
        <w:spacing w:after="0" w:line="240" w:lineRule="auto"/>
      </w:pPr>
    </w:p>
    <w:p w:rsidR="00346EF9" w:rsidRPr="00696338" w:rsidRDefault="00346EF9" w:rsidP="00844C71">
      <w:pPr>
        <w:spacing w:after="0" w:line="240" w:lineRule="auto"/>
        <w:rPr>
          <w:b/>
          <w:bCs/>
          <w:i/>
          <w:iCs/>
        </w:rPr>
      </w:pPr>
      <w:r w:rsidRPr="00696338">
        <w:rPr>
          <w:b/>
          <w:bCs/>
          <w:i/>
          <w:iCs/>
        </w:rPr>
        <w:t>Aging &amp; Disability Resource Centers (ADRCs)</w:t>
      </w:r>
    </w:p>
    <w:p w:rsidR="00346EF9" w:rsidRDefault="00346EF9" w:rsidP="00844C71">
      <w:pPr>
        <w:spacing w:after="0" w:line="240" w:lineRule="auto"/>
        <w:rPr>
          <w:b/>
          <w:bCs/>
        </w:rPr>
      </w:pPr>
    </w:p>
    <w:p w:rsidR="00346EF9" w:rsidRPr="00346EF9" w:rsidRDefault="00346EF9" w:rsidP="00844C71">
      <w:pPr>
        <w:spacing w:after="0" w:line="240" w:lineRule="auto"/>
      </w:pPr>
      <w:r>
        <w:t xml:space="preserve">Aging and Disability Resource Centers, funded through the Older Americans Act, a began under the George W. Bush Administration with the vision to facilitate and streamline access to the most appropriate and cost-effective public and private LTSS options for older adults, people with disabilities and caregivers across the country. This ambitious goal to build an integrated, robust network of information, referral and enrollment assistance in every state remains critically important. We look forward to working with lawmakers to find policy and funding solutions to restore and augment federal investments in the Administration for Community Living (ACL) to continue building ADRCs’ “no wrong door” networks of access to LTSS information and assistance. </w:t>
      </w:r>
    </w:p>
    <w:p w:rsidR="00346EF9" w:rsidRDefault="00346EF9" w:rsidP="00844C71">
      <w:pPr>
        <w:spacing w:after="0" w:line="240" w:lineRule="auto"/>
      </w:pPr>
    </w:p>
    <w:p w:rsidR="00346EF9" w:rsidRPr="00696338" w:rsidRDefault="00346EF9" w:rsidP="00844C71">
      <w:pPr>
        <w:spacing w:after="0" w:line="240" w:lineRule="auto"/>
        <w:rPr>
          <w:b/>
          <w:bCs/>
          <w:color w:val="403152" w:themeColor="accent4" w:themeShade="80"/>
          <w:sz w:val="24"/>
          <w:szCs w:val="24"/>
        </w:rPr>
      </w:pPr>
      <w:r w:rsidRPr="00696338">
        <w:rPr>
          <w:b/>
          <w:bCs/>
          <w:color w:val="403152" w:themeColor="accent4" w:themeShade="80"/>
          <w:sz w:val="24"/>
          <w:szCs w:val="24"/>
        </w:rPr>
        <w:t xml:space="preserve">Other Important Aging Programs </w:t>
      </w:r>
      <w:r w:rsidR="006C52AD" w:rsidRPr="00696338">
        <w:rPr>
          <w:b/>
          <w:bCs/>
          <w:color w:val="403152" w:themeColor="accent4" w:themeShade="80"/>
          <w:sz w:val="24"/>
          <w:szCs w:val="24"/>
        </w:rPr>
        <w:t>(Department of Health and Human Services/Administration for Community Living-Administration on Aging)</w:t>
      </w:r>
    </w:p>
    <w:p w:rsidR="006C52AD" w:rsidRDefault="006C52AD" w:rsidP="00844C71">
      <w:pPr>
        <w:spacing w:after="0" w:line="240" w:lineRule="auto"/>
      </w:pPr>
    </w:p>
    <w:p w:rsidR="006C52AD" w:rsidRPr="00696338" w:rsidRDefault="006C52AD" w:rsidP="00844C71">
      <w:pPr>
        <w:spacing w:after="0" w:line="240" w:lineRule="auto"/>
        <w:rPr>
          <w:b/>
          <w:bCs/>
          <w:i/>
          <w:iCs/>
        </w:rPr>
      </w:pPr>
      <w:r w:rsidRPr="00696338">
        <w:rPr>
          <w:b/>
          <w:bCs/>
          <w:i/>
          <w:iCs/>
        </w:rPr>
        <w:t>Medicare State Health Insurance Assistance Program (SHIPs)</w:t>
      </w:r>
    </w:p>
    <w:p w:rsidR="006C52AD" w:rsidRDefault="006C52AD" w:rsidP="00844C71">
      <w:pPr>
        <w:spacing w:after="0" w:line="240" w:lineRule="auto"/>
      </w:pPr>
    </w:p>
    <w:p w:rsidR="006C52AD" w:rsidRDefault="006C52AD" w:rsidP="00844C71">
      <w:pPr>
        <w:spacing w:after="0" w:line="240" w:lineRule="auto"/>
      </w:pPr>
      <w:r>
        <w:t xml:space="preserve">A total of 54 SHIP grantees oversee a network of more than 3,300 local SHIPs and over 15,000 mostly volunteer counselors to provide one-on-one assistance and counseling to Medicare beneficiaries and their families. SHIPs play a critical role in ensuring that older adults and people with disabilities make informed decisions about their Medicare coverage, including selecting among supplemental Medigap plans, Medicare Advantage (MA) plans and Part D prescription drug plans. SHIPs are also essential in helping beneficiaries navigate an evolving Medicare benefit that includes innovative programs such as Accountable Care Organizations (ACOs) and managed care demonstrations designed for beneficiaries dually eligible for Medicare and Medicaid. </w:t>
      </w:r>
    </w:p>
    <w:p w:rsidR="006C52AD" w:rsidRDefault="006C52AD" w:rsidP="00844C71">
      <w:pPr>
        <w:spacing w:after="0" w:line="240" w:lineRule="auto"/>
      </w:pPr>
    </w:p>
    <w:p w:rsidR="006C52AD" w:rsidRDefault="006C52AD" w:rsidP="00844C71">
      <w:pPr>
        <w:spacing w:after="0" w:line="240" w:lineRule="auto"/>
      </w:pPr>
      <w:r>
        <w:t>The Administration has proposed eliminating all $52.1 million for Medicare SHIPs across the country, stating that Medicare beneficiaries can continue to access online tools and telephone assistance. This fails to recognize that SHIPs offer increasingly critical services th</w:t>
      </w:r>
      <w:r w:rsidR="000E50E2">
        <w:t>at cannot be supplied by 1-800-</w:t>
      </w:r>
      <w:r>
        <w:t xml:space="preserve">MEDICARE, on-line or written materials, or other outreach activities. In fact, approximately one-third of all partner referrals to SHIP originate from Medicare Advantage and </w:t>
      </w:r>
      <w:r>
        <w:lastRenderedPageBreak/>
        <w:t xml:space="preserve">Part D prescription drug plans, local and state agencies, the Centers for Medicare and Medicaid Services, the Social Security Administration, and </w:t>
      </w:r>
      <w:r w:rsidR="000E50E2">
        <w:t>M</w:t>
      </w:r>
      <w:r>
        <w:t>embers of Congress and their staff. Additionally, these partners include SHIP contact information in their websites, publications, and correspondence to beneficiaries as the source of assistance when individuals need help</w:t>
      </w:r>
    </w:p>
    <w:p w:rsidR="006C52AD" w:rsidRDefault="006C52AD" w:rsidP="00844C71">
      <w:pPr>
        <w:spacing w:after="0" w:line="240" w:lineRule="auto"/>
      </w:pPr>
    </w:p>
    <w:p w:rsidR="006C52AD" w:rsidRDefault="006C52AD" w:rsidP="00844C71">
      <w:pPr>
        <w:spacing w:after="0" w:line="240" w:lineRule="auto"/>
      </w:pPr>
      <w:r>
        <w:t>LCAO urges Congress to protect funding for the Medicare State Health Insuranc</w:t>
      </w:r>
      <w:r w:rsidR="00D6505E">
        <w:t xml:space="preserve">e Assistance Program. Each day, </w:t>
      </w:r>
      <w:r>
        <w:t>10,000 baby boomers become Medicare eligible. Over the past 2 years, about 7 million people with Medicare received help from SHIPs; over the past decade, individualized assistance provided by SHIPs almost tripled. If the SHIP investment had simply kept pace with inflation and the increasing number of Medicare beneficiaries since FY 2011, FY</w:t>
      </w:r>
      <w:r w:rsidR="00201FF0">
        <w:t xml:space="preserve"> 20</w:t>
      </w:r>
      <w:r>
        <w:t xml:space="preserve">18 funding would be at least $67 million. </w:t>
      </w:r>
    </w:p>
    <w:p w:rsidR="006C52AD" w:rsidRDefault="006C52AD" w:rsidP="00844C71">
      <w:pPr>
        <w:spacing w:after="0" w:line="240" w:lineRule="auto"/>
      </w:pPr>
    </w:p>
    <w:p w:rsidR="00D773DA" w:rsidRDefault="00D773DA" w:rsidP="00844C71">
      <w:pPr>
        <w:spacing w:after="0" w:line="240" w:lineRule="auto"/>
        <w:rPr>
          <w:b/>
          <w:bCs/>
          <w:i/>
          <w:iCs/>
        </w:rPr>
      </w:pPr>
      <w:r w:rsidRPr="00D773DA">
        <w:rPr>
          <w:b/>
          <w:bCs/>
          <w:i/>
          <w:iCs/>
        </w:rPr>
        <w:t>Elder Justice Initiative</w:t>
      </w:r>
    </w:p>
    <w:p w:rsidR="00D773DA" w:rsidRDefault="00D773DA" w:rsidP="00844C71">
      <w:pPr>
        <w:spacing w:after="0" w:line="240" w:lineRule="auto"/>
      </w:pPr>
    </w:p>
    <w:p w:rsidR="00D773DA" w:rsidRDefault="00D773DA" w:rsidP="00844C71">
      <w:pPr>
        <w:spacing w:after="0" w:line="240" w:lineRule="auto"/>
      </w:pPr>
      <w:r>
        <w:t xml:space="preserve">The Elder Justice and Initiative, administered through the </w:t>
      </w:r>
      <w:r w:rsidRPr="00D773DA">
        <w:t xml:space="preserve">Administration of Community Living’s Elder Justice and Adult Protective Services office, </w:t>
      </w:r>
      <w:r>
        <w:t xml:space="preserve">funds </w:t>
      </w:r>
      <w:r w:rsidRPr="00D773DA">
        <w:t>continued work on the national Adult Protective Services (APS) data system, other APS support programs, programs to stop abuse in guardianship, elder abuse prevention programs in Indian Country, expansion of forensic centers to assist in crime identification and prosecution, and se</w:t>
      </w:r>
      <w:r>
        <w:t xml:space="preserve">lf-neglect prevention programs. This work is critical given </w:t>
      </w:r>
      <w:r w:rsidRPr="00D773DA">
        <w:t>the scope of the crisis of elder abuse and the work that must be done to develop effective, evidence-based prevention, intervention, and prosecution practices</w:t>
      </w:r>
      <w:r w:rsidR="00CE5365">
        <w:t xml:space="preserve">. </w:t>
      </w:r>
      <w:r w:rsidRPr="00D773DA">
        <w:t>We appreciate the FY 2017 funding of $10 million for these activities, an increase over FY 2016</w:t>
      </w:r>
      <w:r w:rsidR="00CE5365">
        <w:t>, and urge congress to continue increasing much-needed and long-overdue investments in elder justice activities</w:t>
      </w:r>
      <w:r w:rsidRPr="00D773DA">
        <w:t xml:space="preserve">. </w:t>
      </w:r>
    </w:p>
    <w:p w:rsidR="00CE5365" w:rsidRPr="00D773DA" w:rsidRDefault="00CE5365" w:rsidP="00844C71">
      <w:pPr>
        <w:spacing w:after="0" w:line="240" w:lineRule="auto"/>
      </w:pPr>
    </w:p>
    <w:p w:rsidR="006C52AD" w:rsidRPr="00696338" w:rsidRDefault="006C52AD" w:rsidP="00844C71">
      <w:pPr>
        <w:spacing w:after="0" w:line="240" w:lineRule="auto"/>
        <w:rPr>
          <w:b/>
          <w:bCs/>
          <w:i/>
          <w:iCs/>
        </w:rPr>
      </w:pPr>
      <w:r w:rsidRPr="00696338">
        <w:rPr>
          <w:b/>
          <w:bCs/>
          <w:i/>
          <w:iCs/>
        </w:rPr>
        <w:t>Lifespan Respite Care Program</w:t>
      </w:r>
    </w:p>
    <w:p w:rsidR="006C52AD" w:rsidRDefault="006C52AD" w:rsidP="00844C71">
      <w:pPr>
        <w:spacing w:after="0" w:line="240" w:lineRule="auto"/>
      </w:pPr>
    </w:p>
    <w:p w:rsidR="006C52AD" w:rsidRDefault="00D6505E" w:rsidP="00844C71">
      <w:pPr>
        <w:spacing w:after="0" w:line="240" w:lineRule="auto"/>
      </w:pPr>
      <w:r>
        <w:t>M</w:t>
      </w:r>
      <w:r w:rsidR="006C52AD">
        <w:t>illions of American families are faced with unexpected illness, disease, or disability</w:t>
      </w:r>
      <w:r>
        <w:t xml:space="preserve"> every year, and these </w:t>
      </w:r>
      <w:r w:rsidR="006C52AD">
        <w:t xml:space="preserve">events that can forever change an individual’s and family’s trajectory. While each situation is unique, the one thing that they often have in common is the incredible value of family caregivers. National, </w:t>
      </w:r>
      <w:r>
        <w:t>s</w:t>
      </w:r>
      <w:r w:rsidR="006C52AD">
        <w:t xml:space="preserve">tate and local surveys have shown respite to be among the most frequently requested services by family caregivers. Yet, 85 percent of the nation’s family caregivers of adults do not receive respite. </w:t>
      </w:r>
    </w:p>
    <w:p w:rsidR="006C52AD" w:rsidRDefault="006C52AD" w:rsidP="00844C71">
      <w:pPr>
        <w:spacing w:after="0" w:line="240" w:lineRule="auto"/>
      </w:pPr>
      <w:r>
        <w:t xml:space="preserve"> </w:t>
      </w:r>
    </w:p>
    <w:p w:rsidR="006C52AD" w:rsidRDefault="006C52AD" w:rsidP="00844C71">
      <w:pPr>
        <w:spacing w:after="0" w:line="240" w:lineRule="auto"/>
      </w:pPr>
      <w:r>
        <w:t>Respite</w:t>
      </w:r>
      <w:r w:rsidR="000E50E2">
        <w:t xml:space="preserve"> – </w:t>
      </w:r>
      <w:r>
        <w:t>short-term care that offers individuals or family members temporary relief from the daily routine and stress of providing care</w:t>
      </w:r>
      <w:r w:rsidR="000E50E2">
        <w:t xml:space="preserve"> – </w:t>
      </w:r>
      <w:r>
        <w:t>is a critical component to bolstering family stability and maintaining family caregiver health and well-being. While the benefits of family caregiving are plentiful, caregiving can take its toll—with older spousal family caregivers experiencing higher mortality rates, rates of acute and chronic conditions, and depression than non-caregivers. Respite can save dollars by helping to avoid or delay out-of-home placements or hospitalizations. While we are grateful for the retention of the modest increase for the Lifespan Respite Program in FY 2017, the program is significantly underfunded at only $3.36 million. We are requesting $5.0 million for the Lifespan Respite Care Program.</w:t>
      </w:r>
    </w:p>
    <w:p w:rsidR="006C52AD" w:rsidRDefault="006C52AD" w:rsidP="00844C71">
      <w:pPr>
        <w:spacing w:after="0" w:line="240" w:lineRule="auto"/>
      </w:pPr>
    </w:p>
    <w:p w:rsidR="00435FA5" w:rsidRPr="00696338" w:rsidRDefault="00435FA5" w:rsidP="00844C71">
      <w:pPr>
        <w:spacing w:after="0" w:line="240" w:lineRule="auto"/>
        <w:rPr>
          <w:b/>
          <w:bCs/>
          <w:i/>
          <w:iCs/>
        </w:rPr>
      </w:pPr>
      <w:r w:rsidRPr="00696338">
        <w:rPr>
          <w:b/>
          <w:bCs/>
          <w:i/>
          <w:iCs/>
        </w:rPr>
        <w:t>The Alzheimer’s Disease Supportive Services Program (ADSSP) and the Alzheimer’</w:t>
      </w:r>
      <w:r w:rsidR="00A622F1" w:rsidRPr="00696338">
        <w:rPr>
          <w:b/>
          <w:bCs/>
          <w:i/>
          <w:iCs/>
        </w:rPr>
        <w:t>s Disease Initiative</w:t>
      </w:r>
    </w:p>
    <w:p w:rsidR="00435FA5" w:rsidRDefault="00435FA5" w:rsidP="00844C71">
      <w:pPr>
        <w:spacing w:after="0" w:line="240" w:lineRule="auto"/>
      </w:pPr>
    </w:p>
    <w:p w:rsidR="006C52AD" w:rsidRDefault="00435FA5" w:rsidP="00844C71">
      <w:pPr>
        <w:spacing w:after="0" w:line="240" w:lineRule="auto"/>
      </w:pPr>
      <w:r>
        <w:t xml:space="preserve">The most common type of dementia, Alzheimer’s disease afflicts one out of every 10 people 65 and over—or over </w:t>
      </w:r>
      <w:r w:rsidR="00201FF0">
        <w:t>five</w:t>
      </w:r>
      <w:r>
        <w:t xml:space="preserve"> million older Americans. It is the most expensive disease in America, costing Medicare and Medicaid $175 billion. Two important initiatives under A</w:t>
      </w:r>
      <w:r w:rsidR="000E50E2">
        <w:t xml:space="preserve">dministration for Community </w:t>
      </w:r>
      <w:r w:rsidR="00844C71">
        <w:t>Living aim</w:t>
      </w:r>
      <w:r>
        <w:t xml:space="preserve"> to help communities and caregivers </w:t>
      </w:r>
      <w:r w:rsidR="00A622F1">
        <w:t xml:space="preserve">better plan and provide for older </w:t>
      </w:r>
      <w:r w:rsidR="00A622F1">
        <w:lastRenderedPageBreak/>
        <w:t xml:space="preserve">adults and their caregivers grappling with this disease. The ADSSP </w:t>
      </w:r>
      <w:r>
        <w:t>provides competitive grants to states to expand dementia-capable home and community-based long-term services and supports. It was</w:t>
      </w:r>
      <w:r w:rsidR="00A622F1">
        <w:t xml:space="preserve"> funded at $5 million in FY</w:t>
      </w:r>
      <w:r w:rsidR="00201FF0">
        <w:t xml:space="preserve"> 20</w:t>
      </w:r>
      <w:r w:rsidR="00A622F1">
        <w:t>17.</w:t>
      </w:r>
      <w:r>
        <w:t xml:space="preserve"> LCAO is calling for an increase of $2.5 million to bring the</w:t>
      </w:r>
      <w:r w:rsidR="00201FF0">
        <w:t xml:space="preserve"> ADSSP up to $7.5 million in FY 20</w:t>
      </w:r>
      <w:r>
        <w:t>18.</w:t>
      </w:r>
      <w:r w:rsidR="00A622F1">
        <w:t xml:space="preserve"> Additionally, </w:t>
      </w:r>
      <w:r>
        <w:t>LCAO supports a budget request of $16.5 million in</w:t>
      </w:r>
      <w:r w:rsidR="00201FF0">
        <w:t xml:space="preserve"> FY 20</w:t>
      </w:r>
      <w:r w:rsidR="000E50E2">
        <w:t xml:space="preserve">18 – a $5.5 million increase – </w:t>
      </w:r>
      <w:r>
        <w:t>for this program that provides grants for services such as supporting caregivers in the community, improving health care provider training, and raising public awareness. Research shows that education, counseling and other support for family caregivers can delay institutionalization of loved ones and improve a caregiver’s own physical and mental well-being—thus reducing costs to families and government. In addition, LCAO supports an appropriation of $6.7 million, a $2.7 million increa</w:t>
      </w:r>
      <w:r w:rsidR="00A622F1">
        <w:t xml:space="preserve">se, for the Alzheimer’s Disease </w:t>
      </w:r>
      <w:r>
        <w:t>Communications Campaign.</w:t>
      </w:r>
    </w:p>
    <w:p w:rsidR="00696338" w:rsidRDefault="00696338" w:rsidP="00844C71">
      <w:pPr>
        <w:spacing w:after="0" w:line="240" w:lineRule="auto"/>
        <w:rPr>
          <w:b/>
          <w:bCs/>
          <w:sz w:val="24"/>
          <w:szCs w:val="24"/>
        </w:rPr>
      </w:pPr>
    </w:p>
    <w:p w:rsidR="00A622F1" w:rsidRPr="00696338" w:rsidRDefault="00A622F1" w:rsidP="00844C71">
      <w:pPr>
        <w:spacing w:after="0" w:line="240" w:lineRule="auto"/>
        <w:rPr>
          <w:b/>
          <w:bCs/>
          <w:color w:val="403152" w:themeColor="accent4" w:themeShade="80"/>
          <w:sz w:val="24"/>
          <w:szCs w:val="24"/>
        </w:rPr>
      </w:pPr>
      <w:r w:rsidRPr="00696338">
        <w:rPr>
          <w:b/>
          <w:bCs/>
          <w:color w:val="403152" w:themeColor="accent4" w:themeShade="80"/>
          <w:sz w:val="24"/>
          <w:szCs w:val="24"/>
        </w:rPr>
        <w:t>Older Americans Act (Department of Labor)</w:t>
      </w:r>
    </w:p>
    <w:p w:rsidR="00A622F1" w:rsidRDefault="00A622F1" w:rsidP="00844C71">
      <w:pPr>
        <w:spacing w:after="0" w:line="240" w:lineRule="auto"/>
        <w:rPr>
          <w:b/>
          <w:bCs/>
          <w:sz w:val="24"/>
          <w:szCs w:val="24"/>
        </w:rPr>
      </w:pPr>
    </w:p>
    <w:p w:rsidR="00A622F1" w:rsidRPr="00696338" w:rsidRDefault="00A622F1" w:rsidP="00844C71">
      <w:pPr>
        <w:spacing w:after="0" w:line="240" w:lineRule="auto"/>
        <w:rPr>
          <w:b/>
          <w:bCs/>
          <w:i/>
          <w:iCs/>
        </w:rPr>
      </w:pPr>
      <w:r w:rsidRPr="00696338">
        <w:rPr>
          <w:b/>
          <w:bCs/>
          <w:i/>
          <w:iCs/>
        </w:rPr>
        <w:t>Senior Community Service Employment Program (SCSEP)</w:t>
      </w:r>
    </w:p>
    <w:p w:rsidR="00A622F1" w:rsidRDefault="00A622F1" w:rsidP="00844C71">
      <w:pPr>
        <w:spacing w:after="0" w:line="240" w:lineRule="auto"/>
        <w:rPr>
          <w:b/>
          <w:bCs/>
        </w:rPr>
      </w:pPr>
    </w:p>
    <w:p w:rsidR="00A622F1" w:rsidRPr="00A622F1" w:rsidRDefault="00A622F1" w:rsidP="00844C71">
      <w:pPr>
        <w:spacing w:after="0" w:line="240" w:lineRule="auto"/>
      </w:pPr>
      <w:r>
        <w:t xml:space="preserve">The Senior Community Service Employment Program is </w:t>
      </w:r>
      <w:r w:rsidRPr="00A622F1">
        <w:t xml:space="preserve">the only federal job training program focused exclusively on helping older Americans return to the workforce. Each year, more than 60,000 older workers from nearly all U.S. counties develop new skills, add relevant work experiences, and strengthen aging and other local programs through their SCSEP on-the-job training and community service assignments. SCSEP prioritizes employment service to veterans, individuals with disabilities, and other most-in-need older adults who have low job prospects and significant barriers to employment, such as homelessness. </w:t>
      </w:r>
    </w:p>
    <w:p w:rsidR="00A622F1" w:rsidRPr="00A622F1" w:rsidRDefault="00A622F1" w:rsidP="00844C71">
      <w:pPr>
        <w:spacing w:after="0" w:line="240" w:lineRule="auto"/>
      </w:pPr>
    </w:p>
    <w:p w:rsidR="00A622F1" w:rsidRPr="00A622F1" w:rsidRDefault="00A622F1" w:rsidP="00844C71">
      <w:pPr>
        <w:spacing w:after="0" w:line="240" w:lineRule="auto"/>
      </w:pPr>
      <w:r w:rsidRPr="00A622F1">
        <w:t>We were deeply disappointed that the Administration is proposing to end this specialized and much-needed work-based training for older adults. SCSEP meets its congressionally-mandated dual purpose of fostering economic self-sufficiency through paid training and promoting employment by placing one in every two participants into unsubsidized jobs. The program exceeded its performance goals during its recent program year for entered employment rate, employment retention rate and six</w:t>
      </w:r>
      <w:r w:rsidR="00D6505E">
        <w:t>-</w:t>
      </w:r>
      <w:r w:rsidRPr="00A622F1">
        <w:t xml:space="preserve">month average earnings, according to the Administration’s FY 2018 budget. In addition, SCSEP helps to address long-term joblessness of older adults, who often struggle for nearly a year to find jobs after becoming unemployed. We urge Congress to reject the Administration’s FY 2018 proposal to eliminate SCSEP and encourage appropriators to fund the program </w:t>
      </w:r>
      <w:r>
        <w:t xml:space="preserve">at the authorized level of $454.5 million. </w:t>
      </w:r>
      <w:r w:rsidRPr="00A622F1">
        <w:t xml:space="preserve"> </w:t>
      </w:r>
    </w:p>
    <w:p w:rsidR="00A622F1" w:rsidRPr="00A622F1" w:rsidRDefault="00A622F1" w:rsidP="00844C71">
      <w:pPr>
        <w:spacing w:after="0" w:line="240" w:lineRule="auto"/>
        <w:rPr>
          <w:b/>
          <w:bCs/>
        </w:rPr>
      </w:pPr>
    </w:p>
    <w:p w:rsidR="00941AEA" w:rsidRPr="00696338" w:rsidRDefault="00941AEA" w:rsidP="00844C71">
      <w:pPr>
        <w:spacing w:after="0" w:line="240" w:lineRule="auto"/>
        <w:rPr>
          <w:b/>
          <w:bCs/>
          <w:color w:val="403152" w:themeColor="accent4" w:themeShade="80"/>
          <w:sz w:val="24"/>
          <w:szCs w:val="24"/>
        </w:rPr>
      </w:pPr>
      <w:r w:rsidRPr="00696338">
        <w:rPr>
          <w:b/>
          <w:bCs/>
          <w:color w:val="403152" w:themeColor="accent4" w:themeShade="80"/>
          <w:sz w:val="24"/>
          <w:szCs w:val="24"/>
        </w:rPr>
        <w:t>Administration for Children and Families</w:t>
      </w:r>
      <w:r w:rsidR="00803B6F" w:rsidRPr="00696338">
        <w:rPr>
          <w:b/>
          <w:bCs/>
          <w:color w:val="403152" w:themeColor="accent4" w:themeShade="80"/>
          <w:sz w:val="24"/>
          <w:szCs w:val="24"/>
        </w:rPr>
        <w:t xml:space="preserve"> (Department of Healt</w:t>
      </w:r>
      <w:bookmarkStart w:id="0" w:name="_GoBack"/>
      <w:bookmarkEnd w:id="0"/>
      <w:r w:rsidR="00803B6F" w:rsidRPr="00696338">
        <w:rPr>
          <w:b/>
          <w:bCs/>
          <w:color w:val="403152" w:themeColor="accent4" w:themeShade="80"/>
          <w:sz w:val="24"/>
          <w:szCs w:val="24"/>
        </w:rPr>
        <w:t>h and Human Services)</w:t>
      </w:r>
    </w:p>
    <w:p w:rsidR="00941AEA" w:rsidRDefault="00941AEA" w:rsidP="00844C71">
      <w:pPr>
        <w:spacing w:after="0" w:line="240" w:lineRule="auto"/>
        <w:rPr>
          <w:b/>
          <w:bCs/>
          <w:sz w:val="24"/>
          <w:szCs w:val="24"/>
        </w:rPr>
      </w:pPr>
    </w:p>
    <w:p w:rsidR="00941AEA" w:rsidRPr="00696338" w:rsidRDefault="00941AEA" w:rsidP="00844C71">
      <w:pPr>
        <w:spacing w:after="0" w:line="240" w:lineRule="auto"/>
        <w:rPr>
          <w:b/>
          <w:bCs/>
          <w:i/>
          <w:iCs/>
        </w:rPr>
      </w:pPr>
      <w:r w:rsidRPr="00696338">
        <w:rPr>
          <w:b/>
          <w:bCs/>
          <w:i/>
          <w:iCs/>
        </w:rPr>
        <w:t>Social Services Block Grant (SSBG)</w:t>
      </w:r>
    </w:p>
    <w:p w:rsidR="00941AEA" w:rsidRDefault="00941AEA" w:rsidP="00844C71">
      <w:pPr>
        <w:spacing w:after="0" w:line="240" w:lineRule="auto"/>
      </w:pPr>
    </w:p>
    <w:p w:rsidR="00804430" w:rsidRDefault="00941AEA" w:rsidP="00844C71">
      <w:pPr>
        <w:spacing w:after="0" w:line="240" w:lineRule="auto"/>
      </w:pPr>
      <w:r>
        <w:t>We strongly oppose the President’s budget request eliminating the Socia</w:t>
      </w:r>
      <w:r w:rsidR="00D6505E">
        <w:t xml:space="preserve">l Services Block Grant (SSBG). </w:t>
      </w:r>
      <w:r>
        <w:t>SSBG is a major funder of state and local services such as adult protective services, in home supportive services, congregate and home delivered meals, case management and other programs dependent on SSBG. An elimination of SSBG would be devastating in aging programs such as adult protective services (APS).  SSBG is the only federal funding source for APS</w:t>
      </w:r>
      <w:r w:rsidR="00D6505E">
        <w:t>,</w:t>
      </w:r>
      <w:r>
        <w:t xml:space="preserve"> whose workers are often the first responders in cases of abuse, neglect, and exploitation. APS conducts investigations, evaluates client risk, develops and implements case plans, provides counseling, and arranges for a variety of serv</w:t>
      </w:r>
      <w:r w:rsidR="00D6505E">
        <w:t xml:space="preserve">ices that also depend on SSBG. </w:t>
      </w:r>
      <w:r>
        <w:t xml:space="preserve">The strength in the program lies in its flexibility to allow state and local governments determine how to use funds to best meet their community needs. Approximately 30 million individuals across </w:t>
      </w:r>
      <w:r>
        <w:lastRenderedPageBreak/>
        <w:t>the lifespan benef</w:t>
      </w:r>
      <w:r w:rsidR="00D6505E">
        <w:t xml:space="preserve">it from SSBG each year. In the past </w:t>
      </w:r>
      <w:r>
        <w:t>SSBG has had bipartisan support on both the House Ways and Means Committee and the</w:t>
      </w:r>
      <w:r w:rsidR="00D6505E">
        <w:t xml:space="preserve"> Senate Finance Committee</w:t>
      </w:r>
      <w:r>
        <w:t>. We urge Congress to, at a minimum, support funding of SSBG at $1.7 billion for FY 2018.</w:t>
      </w:r>
    </w:p>
    <w:p w:rsidR="00DA1A01" w:rsidRDefault="00DA1A01" w:rsidP="00844C71">
      <w:pPr>
        <w:spacing w:after="0" w:line="240" w:lineRule="auto"/>
      </w:pPr>
    </w:p>
    <w:p w:rsidR="00E77E9F" w:rsidRDefault="00E77E9F" w:rsidP="00844C71">
      <w:pPr>
        <w:spacing w:after="0" w:line="240" w:lineRule="auto"/>
        <w:rPr>
          <w:b/>
          <w:bCs/>
          <w:i/>
          <w:iCs/>
        </w:rPr>
      </w:pPr>
      <w:r w:rsidRPr="00696338">
        <w:rPr>
          <w:b/>
          <w:bCs/>
          <w:i/>
          <w:iCs/>
        </w:rPr>
        <w:t xml:space="preserve">Community Services Block Grant (CSBG) </w:t>
      </w:r>
    </w:p>
    <w:p w:rsidR="000E50E2" w:rsidRPr="00696338" w:rsidRDefault="000E50E2" w:rsidP="00844C71">
      <w:pPr>
        <w:spacing w:after="0" w:line="240" w:lineRule="auto"/>
        <w:rPr>
          <w:b/>
          <w:bCs/>
          <w:i/>
          <w:iCs/>
        </w:rPr>
      </w:pPr>
    </w:p>
    <w:p w:rsidR="00E77E9F" w:rsidRDefault="00E77E9F" w:rsidP="00844C71">
      <w:pPr>
        <w:spacing w:after="0" w:line="240" w:lineRule="auto"/>
      </w:pPr>
      <w:r>
        <w:t>Since 1981, states have utilized these CSBG flexible funds to improve community health and living conditions for low-income families and seniors. For those aged 55 and older, these services include home-based household and personal care services, nutrition and wellness programs, Adult Protective Services, and transportation to and from medical appointments or adult day health centers, making this program a pre-Medicare/Medicaid partner in the long-term care continuum. Approximately $56 million of FY</w:t>
      </w:r>
      <w:r w:rsidR="00201FF0">
        <w:t xml:space="preserve"> 20</w:t>
      </w:r>
      <w:r>
        <w:t xml:space="preserve">15 CSBG resources specifically were used to serve seniors. Over 21 percent of those served, or nearly 2.4 million, were older adults, and nearly </w:t>
      </w:r>
      <w:r w:rsidR="00D6505E">
        <w:t>eight</w:t>
      </w:r>
      <w:r>
        <w:t xml:space="preserve"> percent of those served were 70 years or older. Overall, nearly 1.9 million seniors were helped to live independently in their own homes and remain engaged in their communities. LCAO urges continued bipartisan support for CSBG at its current $715 million level and rejection of any proposed cuts for FY</w:t>
      </w:r>
      <w:r w:rsidR="00201FF0">
        <w:t xml:space="preserve"> 20</w:t>
      </w:r>
      <w:r>
        <w:t>18.</w:t>
      </w:r>
    </w:p>
    <w:p w:rsidR="00E77E9F" w:rsidRDefault="00E77E9F" w:rsidP="00844C71">
      <w:pPr>
        <w:spacing w:after="0" w:line="240" w:lineRule="auto"/>
      </w:pPr>
    </w:p>
    <w:p w:rsidR="00E77E9F" w:rsidRPr="00696338" w:rsidRDefault="00E77E9F" w:rsidP="00844C71">
      <w:pPr>
        <w:spacing w:after="0" w:line="240" w:lineRule="auto"/>
        <w:rPr>
          <w:b/>
          <w:bCs/>
          <w:i/>
          <w:iCs/>
        </w:rPr>
      </w:pPr>
      <w:r w:rsidRPr="00696338">
        <w:rPr>
          <w:b/>
          <w:bCs/>
          <w:i/>
          <w:iCs/>
        </w:rPr>
        <w:t xml:space="preserve">Low-Income Home Energy Assistance Program (LIHEAP) </w:t>
      </w:r>
    </w:p>
    <w:p w:rsidR="009E35E7" w:rsidRDefault="009E35E7" w:rsidP="00844C71">
      <w:pPr>
        <w:spacing w:after="0" w:line="240" w:lineRule="auto"/>
      </w:pPr>
    </w:p>
    <w:p w:rsidR="00E77E9F" w:rsidRDefault="00E77E9F" w:rsidP="00844C71">
      <w:pPr>
        <w:spacing w:after="0" w:line="240" w:lineRule="auto"/>
      </w:pPr>
      <w:r>
        <w:t>About a third of the nearly seven million households receiving LIHEAP benefits include an older adult age 60+ for whom this assistance means avoiding difficult choices between paying for utilities, food, or medicine. The level funding provided in recent years is only sufficient to serve 20 percent of the eligible population. Those who do receive LIHEAP assistance have seen their average grant reduced by nearly $100 since 2010. LCAO joins bipartisan groups of national and local policymakers in continuing to call for rejecting any cuts to the program and maintaining it at least the current $3.39 billion level.</w:t>
      </w:r>
    </w:p>
    <w:p w:rsidR="00803B6F" w:rsidRDefault="00803B6F" w:rsidP="00844C71">
      <w:pPr>
        <w:spacing w:after="0" w:line="240" w:lineRule="auto"/>
      </w:pPr>
    </w:p>
    <w:p w:rsidR="00803B6F" w:rsidRPr="00696338" w:rsidRDefault="00803B6F" w:rsidP="00844C71">
      <w:pPr>
        <w:spacing w:after="0" w:line="240" w:lineRule="auto"/>
        <w:rPr>
          <w:b/>
          <w:bCs/>
          <w:color w:val="403152" w:themeColor="accent4" w:themeShade="80"/>
          <w:sz w:val="24"/>
          <w:szCs w:val="24"/>
        </w:rPr>
      </w:pPr>
      <w:r w:rsidRPr="00696338">
        <w:rPr>
          <w:b/>
          <w:bCs/>
          <w:color w:val="403152" w:themeColor="accent4" w:themeShade="80"/>
          <w:sz w:val="24"/>
          <w:szCs w:val="24"/>
        </w:rPr>
        <w:t>Centers for Disease Control (Department of Health and Human Services)</w:t>
      </w:r>
    </w:p>
    <w:p w:rsidR="00E77E9F" w:rsidRDefault="00E77E9F" w:rsidP="00844C71">
      <w:pPr>
        <w:spacing w:after="0" w:line="240" w:lineRule="auto"/>
      </w:pPr>
    </w:p>
    <w:p w:rsidR="00792E99" w:rsidRPr="00696338" w:rsidRDefault="00792E99" w:rsidP="00844C71">
      <w:pPr>
        <w:spacing w:after="0" w:line="240" w:lineRule="auto"/>
        <w:rPr>
          <w:b/>
          <w:bCs/>
          <w:i/>
          <w:iCs/>
        </w:rPr>
      </w:pPr>
      <w:r w:rsidRPr="00696338">
        <w:rPr>
          <w:b/>
          <w:bCs/>
          <w:i/>
          <w:iCs/>
        </w:rPr>
        <w:t>Safety of Seniors Act Falls Prevention</w:t>
      </w:r>
    </w:p>
    <w:p w:rsidR="00792E99" w:rsidRPr="00792E99" w:rsidRDefault="00792E99" w:rsidP="00844C71">
      <w:pPr>
        <w:spacing w:after="0" w:line="240" w:lineRule="auto"/>
      </w:pPr>
      <w:r w:rsidRPr="00792E99">
        <w:t xml:space="preserve"> </w:t>
      </w:r>
    </w:p>
    <w:p w:rsidR="00792E99" w:rsidRPr="00792E99" w:rsidRDefault="00792E99" w:rsidP="00844C71">
      <w:pPr>
        <w:spacing w:after="0" w:line="240" w:lineRule="auto"/>
      </w:pPr>
      <w:r w:rsidRPr="00792E99">
        <w:t>The CDC National Center for Injury Prevention and Control (NCIPC) efforts on behalf of fall</w:t>
      </w:r>
      <w:r w:rsidR="00D6505E">
        <w:t>s</w:t>
      </w:r>
      <w:r w:rsidRPr="00792E99">
        <w:t xml:space="preserve"> prevention are focused on evaluating and promoting evidence-based clinical approaches. It has been shown that clinical fall prevention increases the likelihood that older adults engage in fall prevention programs in community settings such as those supported by ACL grants. Recently, CDC has sought to improve patient care by expanding efforts to educate all members of the health care team, including pharmacists, and evaluate the impact of clinical tools and interventions on the medical cost burden of falls. </w:t>
      </w:r>
    </w:p>
    <w:p w:rsidR="00792E99" w:rsidRPr="00792E99" w:rsidRDefault="00792E99" w:rsidP="00844C71">
      <w:pPr>
        <w:spacing w:after="0" w:line="240" w:lineRule="auto"/>
      </w:pPr>
    </w:p>
    <w:p w:rsidR="009E35E7" w:rsidRPr="00792E99" w:rsidRDefault="00792E99" w:rsidP="00844C71">
      <w:pPr>
        <w:spacing w:after="0" w:line="240" w:lineRule="auto"/>
      </w:pPr>
      <w:r w:rsidRPr="00792E99">
        <w:t>The Administration has proposed eliminating all funding for CDC fall</w:t>
      </w:r>
      <w:r w:rsidR="00D6505E">
        <w:t>s</w:t>
      </w:r>
      <w:r w:rsidRPr="00792E99">
        <w:t xml:space="preserve"> prevention. LCAO urges, at a minimum, that the current $2.1 million be maintained. As the incidence and cost of falls continues to rise exponentially, the federal government should be making additional investments to expand the engagement of providers in both clinical and community settings to ensure all members of older adults’ health care teams have the tools and resources to provide access to evidence-based fall</w:t>
      </w:r>
      <w:r w:rsidR="00D6505E">
        <w:t>s</w:t>
      </w:r>
      <w:r w:rsidRPr="00792E99">
        <w:t xml:space="preserve"> prevention.</w:t>
      </w:r>
    </w:p>
    <w:p w:rsidR="00792E99" w:rsidRDefault="00792E99" w:rsidP="00844C71">
      <w:pPr>
        <w:spacing w:after="0" w:line="240" w:lineRule="auto"/>
        <w:rPr>
          <w:b/>
          <w:bCs/>
          <w:sz w:val="24"/>
          <w:szCs w:val="24"/>
        </w:rPr>
      </w:pPr>
    </w:p>
    <w:p w:rsidR="00B21F02" w:rsidRPr="00696338" w:rsidRDefault="00B21F02" w:rsidP="00844C71">
      <w:pPr>
        <w:spacing w:after="0" w:line="240" w:lineRule="auto"/>
        <w:rPr>
          <w:b/>
          <w:bCs/>
          <w:color w:val="403152" w:themeColor="accent4" w:themeShade="80"/>
          <w:sz w:val="24"/>
          <w:szCs w:val="24"/>
        </w:rPr>
      </w:pPr>
      <w:r w:rsidRPr="00696338">
        <w:rPr>
          <w:b/>
          <w:bCs/>
          <w:color w:val="403152" w:themeColor="accent4" w:themeShade="80"/>
          <w:sz w:val="24"/>
          <w:szCs w:val="24"/>
        </w:rPr>
        <w:t xml:space="preserve">Health Resources &amp; Services Administration (Department of Health and Human Services) </w:t>
      </w:r>
    </w:p>
    <w:p w:rsidR="00B21F02" w:rsidRDefault="00B21F02" w:rsidP="00844C71">
      <w:pPr>
        <w:spacing w:after="0" w:line="240" w:lineRule="auto"/>
        <w:rPr>
          <w:b/>
          <w:bCs/>
          <w:sz w:val="24"/>
          <w:szCs w:val="24"/>
        </w:rPr>
      </w:pPr>
    </w:p>
    <w:p w:rsidR="00B21F02" w:rsidRPr="00696338" w:rsidRDefault="00B21F02" w:rsidP="00844C71">
      <w:pPr>
        <w:spacing w:after="0" w:line="240" w:lineRule="auto"/>
        <w:rPr>
          <w:b/>
          <w:bCs/>
          <w:i/>
          <w:iCs/>
        </w:rPr>
      </w:pPr>
      <w:r w:rsidRPr="00696338">
        <w:rPr>
          <w:b/>
          <w:bCs/>
          <w:i/>
          <w:iCs/>
        </w:rPr>
        <w:lastRenderedPageBreak/>
        <w:t>The Geriatrics Workforce Enhancement Program (GWEP)</w:t>
      </w:r>
    </w:p>
    <w:p w:rsidR="00B21F02" w:rsidRPr="00B21F02" w:rsidRDefault="00B21F02" w:rsidP="00844C71">
      <w:pPr>
        <w:spacing w:after="0" w:line="240" w:lineRule="auto"/>
      </w:pPr>
    </w:p>
    <w:p w:rsidR="00B21F02" w:rsidRDefault="00B21F02" w:rsidP="00844C71">
      <w:pPr>
        <w:spacing w:after="0" w:line="240" w:lineRule="auto"/>
      </w:pPr>
      <w:r>
        <w:t xml:space="preserve">As the only </w:t>
      </w:r>
      <w:r w:rsidRPr="00B21F02">
        <w:t>federal program specifically designed to enhance the skills and training of health care teams serving older adults to improve care quality, safety, and reduce the cost of care</w:t>
      </w:r>
      <w:r>
        <w:t>, GWEP provides</w:t>
      </w:r>
      <w:r w:rsidRPr="00B21F02">
        <w:t xml:space="preserve"> appropriate training for the entire care teams. GWEP targets training to family caregivers, direct care workers, and health care professionals such as physicians, nurses, social workers, pharmacists, and psychologists. With our nation's burgeoning population of older adults, we need a stronger and sustained federal commitment to our eldercare workforce and we request at least $51 million to support the GWEP.</w:t>
      </w:r>
    </w:p>
    <w:p w:rsidR="00E10C5D" w:rsidRDefault="00E10C5D" w:rsidP="00844C71">
      <w:pPr>
        <w:spacing w:after="0" w:line="240" w:lineRule="auto"/>
      </w:pPr>
    </w:p>
    <w:p w:rsidR="00E10C5D" w:rsidRDefault="00E10C5D" w:rsidP="00844C71">
      <w:pPr>
        <w:spacing w:after="0" w:line="240" w:lineRule="auto"/>
        <w:rPr>
          <w:b/>
          <w:bCs/>
        </w:rPr>
      </w:pPr>
      <w:r w:rsidRPr="00BA13F1">
        <w:rPr>
          <w:b/>
          <w:bCs/>
          <w:i/>
          <w:iCs/>
        </w:rPr>
        <w:t>Legal Services and the Legal Services Corporation (LSC)</w:t>
      </w:r>
      <w:r w:rsidRPr="00E10C5D">
        <w:rPr>
          <w:b/>
          <w:bCs/>
        </w:rPr>
        <w:t xml:space="preserve"> </w:t>
      </w:r>
    </w:p>
    <w:p w:rsidR="00E10C5D" w:rsidRDefault="00E10C5D" w:rsidP="00844C71">
      <w:pPr>
        <w:spacing w:after="0" w:line="240" w:lineRule="auto"/>
        <w:rPr>
          <w:b/>
          <w:bCs/>
        </w:rPr>
      </w:pPr>
    </w:p>
    <w:p w:rsidR="00E10C5D" w:rsidRPr="00E10C5D" w:rsidRDefault="00E10C5D" w:rsidP="00844C71">
      <w:pPr>
        <w:spacing w:after="0" w:line="240" w:lineRule="auto"/>
        <w:rPr>
          <w:b/>
          <w:bCs/>
        </w:rPr>
      </w:pPr>
      <w:r w:rsidRPr="00E10C5D">
        <w:t>LCAO supports the modest legal services funding provided under Titles III B of the Older Americans Act. In addition, LCAO believes that the LSC plays a critical role in providing civil legal aid across the nation, particularly to the most vulnerable Americans, including older adults, veterans, victims of elder abuse, and people with disabilities.  LSC has been cut many times over the years, and the LCAO again supports returning LSC funding to $452 million, which is approximately the FY 2010 level.</w:t>
      </w:r>
    </w:p>
    <w:p w:rsidR="00E10C5D" w:rsidRDefault="00E10C5D" w:rsidP="00844C71">
      <w:pPr>
        <w:spacing w:after="0" w:line="240" w:lineRule="auto"/>
      </w:pPr>
    </w:p>
    <w:p w:rsidR="00E10C5D" w:rsidRDefault="00E10C5D" w:rsidP="00844C71">
      <w:pPr>
        <w:spacing w:after="0" w:line="240" w:lineRule="auto"/>
        <w:rPr>
          <w:b/>
          <w:bCs/>
        </w:rPr>
      </w:pPr>
      <w:r w:rsidRPr="00BA13F1">
        <w:rPr>
          <w:b/>
          <w:bCs/>
          <w:i/>
          <w:iCs/>
        </w:rPr>
        <w:t>National Institutes of Health (NIH) and National Institute on Aging (NIA)</w:t>
      </w:r>
      <w:r w:rsidRPr="00E10C5D">
        <w:rPr>
          <w:b/>
          <w:bCs/>
        </w:rPr>
        <w:t xml:space="preserve"> </w:t>
      </w:r>
    </w:p>
    <w:p w:rsidR="00E10C5D" w:rsidRDefault="00E10C5D" w:rsidP="00844C71">
      <w:pPr>
        <w:spacing w:after="0" w:line="240" w:lineRule="auto"/>
        <w:rPr>
          <w:b/>
          <w:bCs/>
        </w:rPr>
      </w:pPr>
    </w:p>
    <w:p w:rsidR="00E10C5D" w:rsidRPr="00E10C5D" w:rsidRDefault="00E10C5D" w:rsidP="00844C71">
      <w:pPr>
        <w:spacing w:after="0" w:line="240" w:lineRule="auto"/>
        <w:rPr>
          <w:b/>
          <w:bCs/>
        </w:rPr>
      </w:pPr>
      <w:r w:rsidRPr="00E10C5D">
        <w:t>LCAO supports increased investment at the National Institutes of Health and the National Institute on Aging to better prevent, treat, and cure chronic diseases of aging. This is one of the most cost-effective ways to reduce health care spending. It is estimated that we will spend more than $225 billion this year on treating Alzheimer’s disease (AD) and other dementias. As many as five million Americans aged 65 years and older may have AD with a predicted increase to 13.2 million by 2050.  LCAO has been pleased with the strong bipartisan/bicameral support for NIH and NIA and we ask that you continue to provide increased investments in these research programs that help our nation improve the quality of life for older adults and future generations while saving hundreds of billions in health care costs.</w:t>
      </w:r>
    </w:p>
    <w:p w:rsidR="00B21F02" w:rsidRDefault="00B21F02" w:rsidP="00844C71">
      <w:pPr>
        <w:spacing w:after="0" w:line="240" w:lineRule="auto"/>
        <w:rPr>
          <w:b/>
          <w:bCs/>
          <w:sz w:val="24"/>
          <w:szCs w:val="24"/>
        </w:rPr>
      </w:pPr>
    </w:p>
    <w:p w:rsidR="00803B6F" w:rsidRPr="00696338" w:rsidRDefault="00803B6F" w:rsidP="00844C71">
      <w:pPr>
        <w:spacing w:after="0" w:line="240" w:lineRule="auto"/>
        <w:rPr>
          <w:b/>
          <w:bCs/>
          <w:color w:val="403152" w:themeColor="accent4" w:themeShade="80"/>
          <w:sz w:val="24"/>
          <w:szCs w:val="24"/>
        </w:rPr>
      </w:pPr>
      <w:r w:rsidRPr="00696338">
        <w:rPr>
          <w:b/>
          <w:bCs/>
          <w:color w:val="403152" w:themeColor="accent4" w:themeShade="80"/>
          <w:sz w:val="24"/>
          <w:szCs w:val="24"/>
        </w:rPr>
        <w:t>Corporation for National Community Service</w:t>
      </w:r>
      <w:r w:rsidR="00B21F02" w:rsidRPr="00696338">
        <w:rPr>
          <w:b/>
          <w:bCs/>
          <w:color w:val="403152" w:themeColor="accent4" w:themeShade="80"/>
          <w:sz w:val="24"/>
          <w:szCs w:val="24"/>
        </w:rPr>
        <w:t xml:space="preserve"> (CNCS) </w:t>
      </w:r>
    </w:p>
    <w:p w:rsidR="00803B6F" w:rsidRDefault="00803B6F" w:rsidP="00844C71">
      <w:pPr>
        <w:spacing w:after="0" w:line="240" w:lineRule="auto"/>
        <w:rPr>
          <w:b/>
          <w:bCs/>
          <w:sz w:val="24"/>
          <w:szCs w:val="24"/>
        </w:rPr>
      </w:pPr>
    </w:p>
    <w:p w:rsidR="00803B6F" w:rsidRPr="00696338" w:rsidRDefault="00803B6F" w:rsidP="00844C71">
      <w:pPr>
        <w:spacing w:after="0" w:line="240" w:lineRule="auto"/>
        <w:rPr>
          <w:b/>
          <w:bCs/>
          <w:i/>
          <w:iCs/>
        </w:rPr>
      </w:pPr>
      <w:r w:rsidRPr="00696338">
        <w:rPr>
          <w:b/>
          <w:bCs/>
          <w:i/>
          <w:iCs/>
        </w:rPr>
        <w:t>Senior Corps</w:t>
      </w:r>
    </w:p>
    <w:p w:rsidR="00803B6F" w:rsidRDefault="00803B6F" w:rsidP="00844C71">
      <w:pPr>
        <w:spacing w:after="0" w:line="240" w:lineRule="auto"/>
        <w:rPr>
          <w:b/>
          <w:bCs/>
        </w:rPr>
      </w:pPr>
    </w:p>
    <w:p w:rsidR="00803B6F" w:rsidRDefault="00803B6F" w:rsidP="00844C71">
      <w:pPr>
        <w:spacing w:after="0" w:line="240" w:lineRule="auto"/>
      </w:pPr>
      <w:r>
        <w:t>The three federal initiatives that comp</w:t>
      </w:r>
      <w:r w:rsidR="000E50E2">
        <w:t xml:space="preserve">rise the national senior corps – </w:t>
      </w:r>
      <w:r>
        <w:t>Retired Senior Volunteer Program (</w:t>
      </w:r>
      <w:r w:rsidRPr="00803B6F">
        <w:t>RSVP</w:t>
      </w:r>
      <w:r w:rsidR="00B24660">
        <w:t>)</w:t>
      </w:r>
      <w:r w:rsidRPr="00803B6F">
        <w:t>, Foster Grandpa</w:t>
      </w:r>
      <w:r w:rsidR="000E50E2">
        <w:t xml:space="preserve">rents, and Senior Companions) – </w:t>
      </w:r>
      <w:r w:rsidRPr="00803B6F">
        <w:t>cost-effectively address many unmet needs in our communities. Together, they enable more than 270,000 senior volunteers to provide essential services to their neighbors that local, county, and state governm</w:t>
      </w:r>
      <w:r w:rsidR="00B24660">
        <w:t xml:space="preserve">ents cannot afford to replace. </w:t>
      </w:r>
      <w:r w:rsidRPr="00803B6F">
        <w:t>All senior volunteers reap the mental and physical benefits that come from remaining active and helping their neighbors.</w:t>
      </w:r>
    </w:p>
    <w:p w:rsidR="00B24660" w:rsidRPr="00803B6F" w:rsidRDefault="00B24660" w:rsidP="00844C71">
      <w:pPr>
        <w:spacing w:after="0" w:line="240" w:lineRule="auto"/>
      </w:pPr>
    </w:p>
    <w:p w:rsidR="00803B6F" w:rsidRPr="00803B6F" w:rsidRDefault="00803B6F" w:rsidP="00844C71">
      <w:pPr>
        <w:spacing w:after="0" w:line="240" w:lineRule="auto"/>
      </w:pPr>
      <w:r w:rsidRPr="00803B6F">
        <w:t xml:space="preserve">Senior Corps volunteers provide unique and special services to their communities. It takes incredible dedication and compassion to help the frail elderly with their daily activities, children with disabilities to find success in the classroom, or comfort and companionship to seniors living alone in rural areas. These programs and their volunteers provide much-needed services at an extremely low cost. All Senior Corps programs have a required non-federal funding match, which is often met by local and state governments, non-profits, and the private sector.  </w:t>
      </w:r>
    </w:p>
    <w:p w:rsidR="00B24660" w:rsidRDefault="00803B6F" w:rsidP="00844C71">
      <w:pPr>
        <w:spacing w:after="0" w:line="240" w:lineRule="auto"/>
      </w:pPr>
      <w:r w:rsidRPr="00803B6F">
        <w:t xml:space="preserve">      </w:t>
      </w:r>
    </w:p>
    <w:p w:rsidR="00803B6F" w:rsidRPr="00803B6F" w:rsidRDefault="00803B6F" w:rsidP="00844C71">
      <w:pPr>
        <w:spacing w:after="0" w:line="240" w:lineRule="auto"/>
      </w:pPr>
      <w:r w:rsidRPr="00803B6F">
        <w:lastRenderedPageBreak/>
        <w:t>Senior Corps ensures that local needs are met at minimal cost to the taxpayers. Senior Corps programs are public-private partnerships in which grantees provide a non-federal match. CNCS estimates that in 2017 states and local communities will contribute an estimated $91 million, in cash and in-kin</w:t>
      </w:r>
      <w:r w:rsidR="00B24660">
        <w:t xml:space="preserve">d. We encourage Congress to reject the President’s proposal to eliminate Senior Corps programs and to </w:t>
      </w:r>
      <w:r w:rsidRPr="00803B6F">
        <w:t xml:space="preserve">support </w:t>
      </w:r>
      <w:r w:rsidR="00B24660">
        <w:t xml:space="preserve">these programs at </w:t>
      </w:r>
      <w:r w:rsidRPr="00803B6F">
        <w:t xml:space="preserve">$216.2 million </w:t>
      </w:r>
      <w:r w:rsidR="00B24660">
        <w:t>in FY</w:t>
      </w:r>
      <w:r w:rsidRPr="00803B6F">
        <w:t xml:space="preserve"> 2018.</w:t>
      </w:r>
    </w:p>
    <w:p w:rsidR="00803B6F" w:rsidRDefault="00803B6F" w:rsidP="00844C71">
      <w:pPr>
        <w:spacing w:after="0" w:line="240" w:lineRule="auto"/>
        <w:rPr>
          <w:b/>
          <w:bCs/>
          <w:sz w:val="24"/>
          <w:szCs w:val="24"/>
        </w:rPr>
      </w:pPr>
    </w:p>
    <w:p w:rsidR="009E35E7" w:rsidRPr="00696338" w:rsidRDefault="009E35E7" w:rsidP="00844C71">
      <w:pPr>
        <w:spacing w:after="0" w:line="240" w:lineRule="auto"/>
        <w:rPr>
          <w:b/>
          <w:bCs/>
          <w:color w:val="403152" w:themeColor="accent4" w:themeShade="80"/>
          <w:sz w:val="24"/>
          <w:szCs w:val="24"/>
        </w:rPr>
      </w:pPr>
      <w:r w:rsidRPr="00696338">
        <w:rPr>
          <w:b/>
          <w:bCs/>
          <w:color w:val="403152" w:themeColor="accent4" w:themeShade="80"/>
          <w:sz w:val="24"/>
          <w:szCs w:val="24"/>
        </w:rPr>
        <w:t>Social Security Administration</w:t>
      </w:r>
      <w:r w:rsidR="00696338">
        <w:rPr>
          <w:b/>
          <w:bCs/>
          <w:color w:val="403152" w:themeColor="accent4" w:themeShade="80"/>
          <w:sz w:val="24"/>
          <w:szCs w:val="24"/>
        </w:rPr>
        <w:t xml:space="preserve"> (SSA)</w:t>
      </w:r>
    </w:p>
    <w:p w:rsidR="009E35E7" w:rsidRDefault="009E35E7" w:rsidP="00844C71">
      <w:pPr>
        <w:spacing w:after="0" w:line="240" w:lineRule="auto"/>
        <w:rPr>
          <w:b/>
          <w:bCs/>
          <w:sz w:val="24"/>
          <w:szCs w:val="24"/>
        </w:rPr>
      </w:pPr>
    </w:p>
    <w:p w:rsidR="009E35E7" w:rsidRPr="009E35E7" w:rsidRDefault="009E35E7" w:rsidP="00844C71">
      <w:pPr>
        <w:spacing w:after="0" w:line="240" w:lineRule="auto"/>
        <w:rPr>
          <w:b/>
          <w:bCs/>
        </w:rPr>
      </w:pPr>
      <w:r w:rsidRPr="009E35E7">
        <w:rPr>
          <w:b/>
          <w:bCs/>
        </w:rPr>
        <w:t>Social Security Limitation on Administrative Expenses (LAE)</w:t>
      </w:r>
    </w:p>
    <w:p w:rsidR="009E35E7" w:rsidRDefault="009E35E7" w:rsidP="00844C71">
      <w:pPr>
        <w:spacing w:after="0" w:line="240" w:lineRule="auto"/>
      </w:pPr>
    </w:p>
    <w:p w:rsidR="00696338" w:rsidRDefault="00696338" w:rsidP="00844C71">
      <w:pPr>
        <w:spacing w:after="0" w:line="240" w:lineRule="auto"/>
      </w:pPr>
      <w:r>
        <w:t xml:space="preserve">LCAO is disappointed in the $12.457 billion appropriation for the Social Security Administration’s (SSA) administrative funding in </w:t>
      </w:r>
      <w:r w:rsidR="000E50E2">
        <w:t xml:space="preserve">the </w:t>
      </w:r>
      <w:r>
        <w:t xml:space="preserve">President’s FY 2018 budget. While this is an increase of $322 million over FY 2017, $309 million is designated for program integrity workloads and cannot be used to reduce wait times or other administrative expenses. With 10,000 Americans turning 65 every day, this modest increase is inadequate and will not meet the rising demands on the agency. SSA has approximately $320 million in fixed annual inflationary costs that are earmarked for salaries, benefits, rent and guard costs, which cannot be shifted to meet other needs. </w:t>
      </w:r>
    </w:p>
    <w:p w:rsidR="00696338" w:rsidRDefault="00696338" w:rsidP="00844C71">
      <w:pPr>
        <w:spacing w:after="0" w:line="240" w:lineRule="auto"/>
      </w:pPr>
    </w:p>
    <w:p w:rsidR="009E35E7" w:rsidRDefault="00696338" w:rsidP="00844C71">
      <w:pPr>
        <w:spacing w:after="0" w:line="240" w:lineRule="auto"/>
      </w:pPr>
      <w:r>
        <w:t xml:space="preserve">The </w:t>
      </w:r>
      <w:r w:rsidR="000E50E2">
        <w:t>SSA</w:t>
      </w:r>
      <w:r>
        <w:t xml:space="preserve"> manages one of our largest government resources, paying out nearly $900 billion in benefits annually. The agency boasts a 99</w:t>
      </w:r>
      <w:r w:rsidR="00D6505E">
        <w:t xml:space="preserve"> percent</w:t>
      </w:r>
      <w:r>
        <w:t xml:space="preserve"> accuracy rate with about only one penny of every dollar invested in the trust funds going toward administrative costs. Since 2010, SSA has experienced devastating cuts to their administrative budget, which has resulted in field office closings, massive layoffs, and workload backlogs. The agency has lost approximately 10 percent of their budget over this time. The Social Security Administration would need a Limitation on Administrative Expenses (LAE) of $13.5 billion for FY 2018 to allow it to operate fully again. This increase would help ensure that the public can be served adequately by SSA staff in person and on the phone and address the unprecedented 1.1 million backlog of disability insurance appeals at SSA Payment Centers.</w:t>
      </w:r>
    </w:p>
    <w:p w:rsidR="00696338" w:rsidRDefault="00696338" w:rsidP="00844C71">
      <w:pPr>
        <w:spacing w:after="0" w:line="240" w:lineRule="auto"/>
      </w:pPr>
    </w:p>
    <w:p w:rsidR="00B21F02" w:rsidRPr="00696338" w:rsidRDefault="00B21F02" w:rsidP="00844C71">
      <w:pPr>
        <w:spacing w:after="0" w:line="240" w:lineRule="auto"/>
        <w:jc w:val="center"/>
        <w:rPr>
          <w:color w:val="4F6228" w:themeColor="accent3" w:themeShade="80"/>
          <w:sz w:val="28"/>
          <w:szCs w:val="28"/>
        </w:rPr>
      </w:pPr>
      <w:r w:rsidRPr="00696338">
        <w:rPr>
          <w:b/>
          <w:bCs/>
          <w:color w:val="4F6228" w:themeColor="accent3" w:themeShade="80"/>
          <w:sz w:val="28"/>
          <w:szCs w:val="28"/>
        </w:rPr>
        <w:t>Subcommittee on Transportation, Housing and Urban Development</w:t>
      </w:r>
    </w:p>
    <w:p w:rsidR="00792E99" w:rsidRDefault="00792E99" w:rsidP="00844C71">
      <w:pPr>
        <w:spacing w:after="0" w:line="240" w:lineRule="auto"/>
        <w:rPr>
          <w:b/>
          <w:bCs/>
          <w:sz w:val="24"/>
          <w:szCs w:val="24"/>
        </w:rPr>
      </w:pPr>
    </w:p>
    <w:p w:rsidR="00792E99" w:rsidRPr="00696338" w:rsidRDefault="00792E99" w:rsidP="00844C71">
      <w:pPr>
        <w:spacing w:after="0" w:line="240" w:lineRule="auto"/>
        <w:rPr>
          <w:b/>
          <w:bCs/>
          <w:color w:val="403152" w:themeColor="accent4" w:themeShade="80"/>
          <w:sz w:val="24"/>
          <w:szCs w:val="24"/>
        </w:rPr>
      </w:pPr>
      <w:r w:rsidRPr="00696338">
        <w:rPr>
          <w:b/>
          <w:bCs/>
          <w:color w:val="403152" w:themeColor="accent4" w:themeShade="80"/>
          <w:sz w:val="24"/>
          <w:szCs w:val="24"/>
        </w:rPr>
        <w:t>Department of Housing and Urban Development</w:t>
      </w:r>
    </w:p>
    <w:p w:rsidR="00B21F02" w:rsidRDefault="00B21F02" w:rsidP="00844C71">
      <w:pPr>
        <w:spacing w:after="0" w:line="240" w:lineRule="auto"/>
        <w:rPr>
          <w:b/>
          <w:bCs/>
        </w:rPr>
      </w:pPr>
    </w:p>
    <w:p w:rsidR="00803B6F" w:rsidRPr="00696338" w:rsidRDefault="00803B6F" w:rsidP="00844C71">
      <w:pPr>
        <w:spacing w:after="0" w:line="240" w:lineRule="auto"/>
        <w:rPr>
          <w:b/>
          <w:bCs/>
          <w:i/>
          <w:iCs/>
        </w:rPr>
      </w:pPr>
      <w:r w:rsidRPr="00696338">
        <w:rPr>
          <w:b/>
          <w:bCs/>
          <w:i/>
          <w:iCs/>
        </w:rPr>
        <w:t xml:space="preserve">Community Development Block Grant (CDBG) </w:t>
      </w:r>
    </w:p>
    <w:p w:rsidR="00803B6F" w:rsidRPr="00803B6F" w:rsidRDefault="00803B6F" w:rsidP="00844C71">
      <w:pPr>
        <w:spacing w:after="0" w:line="240" w:lineRule="auto"/>
        <w:rPr>
          <w:b/>
          <w:bCs/>
        </w:rPr>
      </w:pPr>
    </w:p>
    <w:p w:rsidR="00803B6F" w:rsidRDefault="00803B6F" w:rsidP="00844C71">
      <w:pPr>
        <w:spacing w:after="0" w:line="240" w:lineRule="auto"/>
      </w:pPr>
      <w:r w:rsidRPr="00803B6F">
        <w:t>Since 1974, states have used CDBG funding for a variety of community development and anti-poverty programs, including programs for older adults and the facilities that serve them. These programs include constructing senior centers, providing home-delivered meals, completing home repairs, and modifying homes for accessibility. One in four federally-funded Meals on Wheels programs depends on CDBG funding. Further, according to the U.S. Conference of Mayors, every $1.00 of CDBG grant money leverages an additional $3.65 in non-CDBG funding, making it an effective public-private partnership. LCAO urges continued bipartisan support for CDBG at its current level of $3.06 billion and rejection of any proposed cuts for FY</w:t>
      </w:r>
      <w:r w:rsidR="00201FF0">
        <w:t xml:space="preserve"> 20</w:t>
      </w:r>
      <w:r w:rsidRPr="00803B6F">
        <w:t>18.</w:t>
      </w:r>
    </w:p>
    <w:p w:rsidR="00803B6F" w:rsidRPr="00803B6F" w:rsidRDefault="00803B6F" w:rsidP="00844C71">
      <w:pPr>
        <w:spacing w:after="0" w:line="240" w:lineRule="auto"/>
      </w:pPr>
    </w:p>
    <w:p w:rsidR="00792E99" w:rsidRPr="00696338" w:rsidRDefault="00792E99" w:rsidP="00844C71">
      <w:pPr>
        <w:spacing w:after="0" w:line="240" w:lineRule="auto"/>
        <w:rPr>
          <w:b/>
          <w:bCs/>
          <w:i/>
          <w:iCs/>
        </w:rPr>
      </w:pPr>
      <w:r w:rsidRPr="00696338">
        <w:rPr>
          <w:b/>
          <w:bCs/>
          <w:i/>
          <w:iCs/>
        </w:rPr>
        <w:t>Section 202 Senior Housing</w:t>
      </w:r>
    </w:p>
    <w:p w:rsidR="00792E99" w:rsidRDefault="00792E99" w:rsidP="00844C71">
      <w:pPr>
        <w:spacing w:after="0" w:line="240" w:lineRule="auto"/>
      </w:pPr>
    </w:p>
    <w:p w:rsidR="00792E99" w:rsidRPr="00792E99" w:rsidRDefault="00792E99" w:rsidP="00844C71">
      <w:pPr>
        <w:spacing w:after="0" w:line="240" w:lineRule="auto"/>
      </w:pPr>
      <w:r w:rsidRPr="00792E99">
        <w:t xml:space="preserve">Nearly two million low income senior households rely on HUD’s Section 202 Housing for the Elderly, Section 8 Project-Based Rental Assistance, Public Housing, and Housing Choice </w:t>
      </w:r>
      <w:r w:rsidRPr="00792E99">
        <w:lastRenderedPageBreak/>
        <w:t>Voucher programs for affordable housing. LCAO opposes the Administration’s FY 2018 budget request to cut HUD spending by 15</w:t>
      </w:r>
      <w:r w:rsidR="00D6505E">
        <w:t xml:space="preserve">percent </w:t>
      </w:r>
      <w:r w:rsidRPr="00792E99">
        <w:t>compared to FY 2017, including insufficient renewal funding for existing Section 202 and Section 8 Project-Based Rental Assistance communities and deep cuts to Public Housing and Housing Choice Vouchers. LCAO also opposes the budget request’s proposal to increase rents on all residents, including Section 202 Housing for the Elderly residents. HUD’s rental assistance programs must be fully funded and expanded to meet the needs of the millions of seniors who qualify for rental assistance but do not receive it because the programs are limited in size. LCAO also supports greater collaboration between HUD, HHS, and other federal agencies to increase successful program linkages for seniors to help them successfully age in place.</w:t>
      </w:r>
    </w:p>
    <w:p w:rsidR="00792E99" w:rsidRPr="00792E99" w:rsidRDefault="00792E99" w:rsidP="00844C71">
      <w:pPr>
        <w:spacing w:after="0" w:line="240" w:lineRule="auto"/>
      </w:pPr>
    </w:p>
    <w:p w:rsidR="00792E99" w:rsidRPr="00696338" w:rsidRDefault="00792E99" w:rsidP="00844C71">
      <w:pPr>
        <w:spacing w:after="0" w:line="240" w:lineRule="auto"/>
        <w:rPr>
          <w:b/>
          <w:bCs/>
          <w:i/>
          <w:iCs/>
        </w:rPr>
      </w:pPr>
      <w:r w:rsidRPr="00696338">
        <w:rPr>
          <w:b/>
          <w:bCs/>
          <w:i/>
          <w:iCs/>
        </w:rPr>
        <w:t>Housing Counseling</w:t>
      </w:r>
    </w:p>
    <w:p w:rsidR="00792E99" w:rsidRDefault="00792E99" w:rsidP="00844C71">
      <w:pPr>
        <w:spacing w:after="0" w:line="240" w:lineRule="auto"/>
      </w:pPr>
    </w:p>
    <w:p w:rsidR="00792E99" w:rsidRPr="00792E99" w:rsidRDefault="00792E99" w:rsidP="00844C71">
      <w:pPr>
        <w:spacing w:after="0" w:line="240" w:lineRule="auto"/>
      </w:pPr>
      <w:r w:rsidRPr="00792E99">
        <w:t>In addition to supporting homeownership counseling, the Housing Counseling program also invests in Home Equity Conversion Mortgage counseling that is mandatory prior to application for a reverse mortgage. The need for increased funding is especially acute to protect against fraud given recent changes in the reverse mortgage products marketplace, as well as for training, testing, and other implementation issues related to the new HUD counselor certification. LCAO applauds Congress for increasing the program to $55 million for FY</w:t>
      </w:r>
      <w:r w:rsidR="00201FF0">
        <w:t xml:space="preserve"> 20</w:t>
      </w:r>
      <w:r w:rsidRPr="00792E99">
        <w:t xml:space="preserve">17, and urges, at a minimum, that </w:t>
      </w:r>
      <w:r w:rsidR="00D6505E">
        <w:t xml:space="preserve">the </w:t>
      </w:r>
      <w:r w:rsidRPr="00792E99">
        <w:t>FY</w:t>
      </w:r>
      <w:r w:rsidR="00201FF0">
        <w:t xml:space="preserve"> 20</w:t>
      </w:r>
      <w:r w:rsidRPr="00792E99">
        <w:t>18 funding meet this level.</w:t>
      </w:r>
    </w:p>
    <w:p w:rsidR="00792E99" w:rsidRDefault="00792E99" w:rsidP="00844C71">
      <w:pPr>
        <w:spacing w:after="0" w:line="240" w:lineRule="auto"/>
        <w:rPr>
          <w:b/>
          <w:bCs/>
          <w:sz w:val="24"/>
          <w:szCs w:val="24"/>
        </w:rPr>
      </w:pPr>
    </w:p>
    <w:p w:rsidR="00E77E9F" w:rsidRPr="00696338" w:rsidRDefault="00792E99" w:rsidP="00844C71">
      <w:pPr>
        <w:spacing w:after="0" w:line="240" w:lineRule="auto"/>
        <w:rPr>
          <w:b/>
          <w:bCs/>
          <w:color w:val="403152" w:themeColor="accent4" w:themeShade="80"/>
          <w:sz w:val="24"/>
          <w:szCs w:val="24"/>
        </w:rPr>
      </w:pPr>
      <w:r w:rsidRPr="00696338">
        <w:rPr>
          <w:b/>
          <w:bCs/>
          <w:color w:val="403152" w:themeColor="accent4" w:themeShade="80"/>
          <w:sz w:val="24"/>
          <w:szCs w:val="24"/>
        </w:rPr>
        <w:t>Department of Transportation</w:t>
      </w:r>
    </w:p>
    <w:p w:rsidR="00792E99" w:rsidRDefault="00792E99" w:rsidP="00844C71">
      <w:pPr>
        <w:spacing w:after="0" w:line="240" w:lineRule="auto"/>
        <w:rPr>
          <w:b/>
          <w:bCs/>
          <w:sz w:val="24"/>
          <w:szCs w:val="24"/>
        </w:rPr>
      </w:pPr>
    </w:p>
    <w:p w:rsidR="00792E99" w:rsidRPr="00696338" w:rsidRDefault="00792E99" w:rsidP="00844C71">
      <w:pPr>
        <w:spacing w:after="0" w:line="240" w:lineRule="auto"/>
        <w:rPr>
          <w:b/>
          <w:bCs/>
          <w:i/>
          <w:iCs/>
        </w:rPr>
      </w:pPr>
      <w:r w:rsidRPr="00696338">
        <w:rPr>
          <w:b/>
          <w:bCs/>
          <w:i/>
          <w:iCs/>
        </w:rPr>
        <w:t xml:space="preserve">Federal Transit Administration—Technical Assistance to Improve Senior Transportation Options </w:t>
      </w:r>
    </w:p>
    <w:p w:rsidR="00792E99" w:rsidRDefault="00792E99" w:rsidP="00844C71">
      <w:pPr>
        <w:spacing w:after="0" w:line="240" w:lineRule="auto"/>
      </w:pPr>
    </w:p>
    <w:p w:rsidR="00792E99" w:rsidRPr="00792E99" w:rsidRDefault="00792E99" w:rsidP="00844C71">
      <w:pPr>
        <w:spacing w:after="0" w:line="240" w:lineRule="auto"/>
      </w:pPr>
      <w:r w:rsidRPr="00792E99">
        <w:t>Recognizing the growing mobility challenges facing our country’s aging population, Congress authorized $14 million in the Fixing America’s Surface Transportation Act for Federal Transit Administration (FTA) technical assistance, education and outreach to “meet the transportation needs of elderly individuals” and to “assist with compliance with the Americans with Disabilities Act.” In May, Congress fulfilled its promise of improving senior mobility by fully funding FTA technical assistance and education in the Consolidated Appropriations Act (P.L. 115-31). The 2017 investment included $9 million from the highway trust fund for Technical Assistance and Workforce Development and $5 million from the general fund for Technical Assistance and Training.</w:t>
      </w:r>
    </w:p>
    <w:p w:rsidR="00792E99" w:rsidRPr="00792E99" w:rsidRDefault="00792E99" w:rsidP="00844C71">
      <w:pPr>
        <w:spacing w:after="0" w:line="240" w:lineRule="auto"/>
      </w:pPr>
    </w:p>
    <w:p w:rsidR="00792E99" w:rsidRDefault="00792E99" w:rsidP="00844C71">
      <w:pPr>
        <w:spacing w:after="0" w:line="240" w:lineRule="auto"/>
      </w:pPr>
      <w:r w:rsidRPr="00792E99">
        <w:t>Unfortunately, the President’s FY 2018 budget recommends a 36 percent cut to technical assistance and education that helps seniors and individuals with disabilities access our country’s public transportation system. The FY 2018 budget completely eliminates the $5 million Technical Assistance and Training (GF) account. We urge Congress to fully fund technical assistance for accessible transportation by including $9 million for FTA’s Technical Assistance and Workforce Development Program and $5 million for Technical Assistance and Training in your FY 2018 bill.</w:t>
      </w:r>
    </w:p>
    <w:p w:rsidR="00696338" w:rsidRDefault="00696338" w:rsidP="00844C71">
      <w:pPr>
        <w:spacing w:after="0" w:line="240" w:lineRule="auto"/>
        <w:rPr>
          <w:b/>
          <w:bCs/>
          <w:sz w:val="24"/>
          <w:szCs w:val="24"/>
          <w:u w:val="single"/>
        </w:rPr>
      </w:pPr>
    </w:p>
    <w:p w:rsidR="00A219B5" w:rsidRPr="00696338" w:rsidRDefault="00A219B5" w:rsidP="00844C71">
      <w:pPr>
        <w:spacing w:after="0" w:line="240" w:lineRule="auto"/>
        <w:jc w:val="center"/>
        <w:rPr>
          <w:b/>
          <w:bCs/>
          <w:color w:val="4F6228" w:themeColor="accent3" w:themeShade="80"/>
          <w:sz w:val="28"/>
          <w:szCs w:val="28"/>
        </w:rPr>
      </w:pPr>
      <w:r w:rsidRPr="00696338">
        <w:rPr>
          <w:b/>
          <w:bCs/>
          <w:color w:val="4F6228" w:themeColor="accent3" w:themeShade="80"/>
          <w:sz w:val="28"/>
          <w:szCs w:val="28"/>
        </w:rPr>
        <w:t>Subcommittee on Commerce, Justice and Science</w:t>
      </w:r>
    </w:p>
    <w:p w:rsidR="00803B6F" w:rsidRDefault="00803B6F" w:rsidP="00844C71">
      <w:pPr>
        <w:spacing w:after="0" w:line="240" w:lineRule="auto"/>
      </w:pPr>
    </w:p>
    <w:p w:rsidR="00803B6F" w:rsidRPr="00696338" w:rsidRDefault="00803B6F" w:rsidP="00844C71">
      <w:pPr>
        <w:spacing w:after="0" w:line="240" w:lineRule="auto"/>
        <w:rPr>
          <w:b/>
          <w:bCs/>
          <w:color w:val="403152" w:themeColor="accent4" w:themeShade="80"/>
          <w:sz w:val="24"/>
          <w:szCs w:val="24"/>
        </w:rPr>
      </w:pPr>
      <w:r w:rsidRPr="00696338">
        <w:rPr>
          <w:b/>
          <w:bCs/>
          <w:color w:val="403152" w:themeColor="accent4" w:themeShade="80"/>
          <w:sz w:val="24"/>
          <w:szCs w:val="24"/>
        </w:rPr>
        <w:t>Department of Justice</w:t>
      </w:r>
    </w:p>
    <w:p w:rsidR="00B21F02" w:rsidRDefault="00B21F02" w:rsidP="00844C71">
      <w:pPr>
        <w:spacing w:after="0" w:line="240" w:lineRule="auto"/>
      </w:pPr>
    </w:p>
    <w:p w:rsidR="00A219B5" w:rsidRPr="00696338" w:rsidRDefault="00803B6F" w:rsidP="00844C71">
      <w:pPr>
        <w:spacing w:after="0" w:line="240" w:lineRule="auto"/>
        <w:rPr>
          <w:b/>
          <w:bCs/>
          <w:i/>
          <w:iCs/>
        </w:rPr>
      </w:pPr>
      <w:r w:rsidRPr="00696338">
        <w:rPr>
          <w:b/>
          <w:bCs/>
          <w:i/>
          <w:iCs/>
        </w:rPr>
        <w:t>Missing Alzheimer’s Disease Patient Alert Program</w:t>
      </w:r>
    </w:p>
    <w:p w:rsidR="00A219B5" w:rsidRDefault="00A219B5" w:rsidP="00844C71">
      <w:pPr>
        <w:spacing w:after="0" w:line="240" w:lineRule="auto"/>
      </w:pPr>
    </w:p>
    <w:p w:rsidR="00803B6F" w:rsidRDefault="00803B6F" w:rsidP="00844C71">
      <w:pPr>
        <w:spacing w:after="0" w:line="240" w:lineRule="auto"/>
      </w:pPr>
      <w:r>
        <w:lastRenderedPageBreak/>
        <w:t>LCAO supports an allocation of $5 million for this small, but cost-effective, program that provides grants to nonprofit organizations to enable them to establish and operate initiatives to identify, locate and protect individuals with Alzheimer’s who wander away from home. It also saves time and resources for law enforcement and allows them to focus on other security concerns.</w:t>
      </w:r>
    </w:p>
    <w:p w:rsidR="00792E99" w:rsidRDefault="00792E99" w:rsidP="00844C71">
      <w:pPr>
        <w:spacing w:after="0" w:line="240" w:lineRule="auto"/>
        <w:jc w:val="center"/>
      </w:pPr>
    </w:p>
    <w:p w:rsidR="000E50E2" w:rsidRPr="00696338" w:rsidRDefault="000E50E2" w:rsidP="00844C71">
      <w:pPr>
        <w:spacing w:after="0" w:line="240" w:lineRule="auto"/>
        <w:jc w:val="center"/>
        <w:rPr>
          <w:color w:val="4F6228" w:themeColor="accent3" w:themeShade="80"/>
          <w:sz w:val="28"/>
          <w:szCs w:val="28"/>
        </w:rPr>
      </w:pPr>
      <w:r w:rsidRPr="00696338">
        <w:rPr>
          <w:b/>
          <w:bCs/>
          <w:color w:val="4F6228" w:themeColor="accent3" w:themeShade="80"/>
          <w:sz w:val="28"/>
          <w:szCs w:val="28"/>
        </w:rPr>
        <w:t xml:space="preserve">Subcommittee on </w:t>
      </w:r>
      <w:r>
        <w:rPr>
          <w:b/>
          <w:bCs/>
          <w:color w:val="4F6228" w:themeColor="accent3" w:themeShade="80"/>
          <w:sz w:val="28"/>
          <w:szCs w:val="28"/>
        </w:rPr>
        <w:t>Agriculture</w:t>
      </w:r>
      <w:r w:rsidR="007C0854">
        <w:rPr>
          <w:b/>
          <w:bCs/>
          <w:color w:val="4F6228" w:themeColor="accent3" w:themeShade="80"/>
          <w:sz w:val="28"/>
          <w:szCs w:val="28"/>
        </w:rPr>
        <w:t>, Rural Development and Food and Drug Administration</w:t>
      </w:r>
    </w:p>
    <w:p w:rsidR="000E50E2" w:rsidRDefault="000E50E2" w:rsidP="00844C71">
      <w:pPr>
        <w:spacing w:after="0" w:line="240" w:lineRule="auto"/>
      </w:pPr>
    </w:p>
    <w:p w:rsidR="000E50E2" w:rsidRDefault="000E50E2" w:rsidP="00844C71">
      <w:pPr>
        <w:spacing w:after="0" w:line="240" w:lineRule="auto"/>
        <w:rPr>
          <w:b/>
          <w:bCs/>
          <w:color w:val="403152" w:themeColor="accent4" w:themeShade="80"/>
          <w:sz w:val="24"/>
          <w:szCs w:val="24"/>
        </w:rPr>
      </w:pPr>
      <w:r w:rsidRPr="00BA13F1">
        <w:rPr>
          <w:b/>
          <w:bCs/>
          <w:color w:val="403152" w:themeColor="accent4" w:themeShade="80"/>
          <w:sz w:val="24"/>
          <w:szCs w:val="24"/>
        </w:rPr>
        <w:t xml:space="preserve">Department of Agriculture </w:t>
      </w:r>
    </w:p>
    <w:p w:rsidR="000E50E2" w:rsidRDefault="000E50E2" w:rsidP="00844C71">
      <w:pPr>
        <w:spacing w:after="0" w:line="240" w:lineRule="auto"/>
        <w:rPr>
          <w:b/>
          <w:bCs/>
          <w:color w:val="403152" w:themeColor="accent4" w:themeShade="80"/>
          <w:sz w:val="24"/>
          <w:szCs w:val="24"/>
        </w:rPr>
      </w:pPr>
    </w:p>
    <w:p w:rsidR="007C0854" w:rsidRPr="00696338" w:rsidRDefault="007C0854" w:rsidP="00844C71">
      <w:pPr>
        <w:spacing w:after="0" w:line="240" w:lineRule="auto"/>
        <w:rPr>
          <w:b/>
          <w:bCs/>
          <w:i/>
          <w:iCs/>
        </w:rPr>
      </w:pPr>
      <w:r>
        <w:rPr>
          <w:b/>
          <w:bCs/>
          <w:i/>
          <w:iCs/>
        </w:rPr>
        <w:t xml:space="preserve">Federal </w:t>
      </w:r>
      <w:r w:rsidR="00844C71">
        <w:rPr>
          <w:b/>
          <w:bCs/>
          <w:i/>
          <w:iCs/>
        </w:rPr>
        <w:t>Nutrition</w:t>
      </w:r>
      <w:r>
        <w:rPr>
          <w:b/>
          <w:bCs/>
          <w:i/>
          <w:iCs/>
        </w:rPr>
        <w:t xml:space="preserve"> </w:t>
      </w:r>
      <w:r w:rsidRPr="00696338">
        <w:rPr>
          <w:b/>
          <w:bCs/>
          <w:i/>
          <w:iCs/>
        </w:rPr>
        <w:t>Program</w:t>
      </w:r>
      <w:r>
        <w:rPr>
          <w:b/>
          <w:bCs/>
          <w:i/>
          <w:iCs/>
        </w:rPr>
        <w:t>s</w:t>
      </w:r>
    </w:p>
    <w:p w:rsidR="000E50E2" w:rsidRPr="00BA13F1" w:rsidRDefault="000E50E2" w:rsidP="00844C71">
      <w:pPr>
        <w:spacing w:after="0" w:line="240" w:lineRule="auto"/>
        <w:rPr>
          <w:b/>
          <w:bCs/>
          <w:color w:val="403152" w:themeColor="accent4" w:themeShade="80"/>
          <w:sz w:val="24"/>
          <w:szCs w:val="24"/>
        </w:rPr>
      </w:pPr>
    </w:p>
    <w:p w:rsidR="000E50E2" w:rsidRPr="000E50E2" w:rsidRDefault="000E50E2" w:rsidP="00844C71">
      <w:pPr>
        <w:spacing w:after="0" w:line="240" w:lineRule="auto"/>
      </w:pPr>
      <w:r w:rsidRPr="000E50E2">
        <w:t xml:space="preserve">It is critical that proven and effective federal nutrition programs serving our most vulnerable seniors are protected and further strengthened; particularly now as both the need and demand for nutritious meals are already substantial and will only continue to climb exponentially due to a rapidly aging population. In addition to increasing funding for the nutrition programs authorized under the OAA, we urge Congress to fully fund </w:t>
      </w:r>
      <w:r w:rsidR="007C0854">
        <w:t xml:space="preserve">and safeguard from cuts the Supplemental Nutrition Assistance Program (SNAP), the Commodity </w:t>
      </w:r>
      <w:r w:rsidR="00844C71">
        <w:t>Supplemental</w:t>
      </w:r>
      <w:r w:rsidR="007C0854">
        <w:t xml:space="preserve"> Food Program (CFSP) and the Senior Farmers Market Nutrition Program. </w:t>
      </w:r>
    </w:p>
    <w:p w:rsidR="000E50E2" w:rsidRPr="000E50E2" w:rsidRDefault="000E50E2" w:rsidP="00844C71">
      <w:pPr>
        <w:spacing w:after="0" w:line="240" w:lineRule="auto"/>
      </w:pPr>
    </w:p>
    <w:p w:rsidR="001C69D4" w:rsidRDefault="000E50E2" w:rsidP="00844C71">
      <w:pPr>
        <w:spacing w:after="0" w:line="240" w:lineRule="auto"/>
      </w:pPr>
      <w:r w:rsidRPr="000E50E2">
        <w:t>SNAP is our nation’s largest federal nutrition program, targeting households at or below 130 percent of the federal poverty line, or an annual income of $15,180 for a senior living alone. Currently, only about 40 percent of eligible seniors are enrolled in SNAP and on average acces</w:t>
      </w:r>
      <w:r w:rsidR="007C0854">
        <w:t xml:space="preserve">s $129 a month in benefits. </w:t>
      </w:r>
      <w:r w:rsidR="00C372A9">
        <w:t xml:space="preserve">We reject the SNAP </w:t>
      </w:r>
      <w:r w:rsidR="00FC327F">
        <w:t xml:space="preserve">cuts proposed by the </w:t>
      </w:r>
      <w:r w:rsidR="00844C71">
        <w:t>Administration</w:t>
      </w:r>
      <w:r w:rsidR="00FC327F">
        <w:t xml:space="preserve"> and any </w:t>
      </w:r>
      <w:r w:rsidR="00844C71">
        <w:t>proposals</w:t>
      </w:r>
      <w:r w:rsidR="00FC327F">
        <w:t xml:space="preserve"> to undermine its current structure. </w:t>
      </w:r>
    </w:p>
    <w:p w:rsidR="001C69D4" w:rsidRDefault="001C69D4" w:rsidP="00844C71">
      <w:pPr>
        <w:spacing w:after="0" w:line="240" w:lineRule="auto"/>
      </w:pPr>
    </w:p>
    <w:p w:rsidR="000E50E2" w:rsidRPr="000E50E2" w:rsidRDefault="000E50E2" w:rsidP="00844C71">
      <w:pPr>
        <w:spacing w:line="240" w:lineRule="auto"/>
      </w:pPr>
      <w:r w:rsidRPr="000E50E2">
        <w:t>On average, more than 570,000 seniors received monthly CSFP packages in 2015. With one in six older Americans struggling with hunger, this is another crucial service that helps provide the nutrition needed to combat the poor health conditions often found in food insecure seniors.</w:t>
      </w:r>
      <w:r w:rsidR="00C372A9">
        <w:t xml:space="preserve"> LCAO urges Congress to provide $250 million for CSFP in FY18, to maintain the current caseload</w:t>
      </w:r>
      <w:r w:rsidR="004127C4">
        <w:t xml:space="preserve"> and make</w:t>
      </w:r>
      <w:r w:rsidR="00C372A9">
        <w:t xml:space="preserve"> this a </w:t>
      </w:r>
      <w:r w:rsidR="004127C4">
        <w:t>completely nationwide</w:t>
      </w:r>
      <w:r w:rsidR="00C372A9">
        <w:t xml:space="preserve"> program by bringing on the final two states. </w:t>
      </w:r>
    </w:p>
    <w:p w:rsidR="000E50E2" w:rsidRPr="000E50E2" w:rsidRDefault="001C69D4" w:rsidP="00844C71">
      <w:pPr>
        <w:spacing w:after="0" w:line="240" w:lineRule="auto"/>
      </w:pPr>
      <w:r>
        <w:t xml:space="preserve">The SFMNP is </w:t>
      </w:r>
      <w:r w:rsidR="000E50E2" w:rsidRPr="000E50E2">
        <w:t>an important source of fresh fruits and vegetables for over 817,000 seniors and an economic driv</w:t>
      </w:r>
      <w:r>
        <w:t>er for local farms. F</w:t>
      </w:r>
      <w:r w:rsidR="000E50E2" w:rsidRPr="000E50E2">
        <w:t xml:space="preserve">unding levels </w:t>
      </w:r>
      <w:r>
        <w:t xml:space="preserve">should be </w:t>
      </w:r>
      <w:r w:rsidR="000E50E2" w:rsidRPr="000E50E2">
        <w:t xml:space="preserve">restored to </w:t>
      </w:r>
      <w:r>
        <w:t xml:space="preserve">the levels </w:t>
      </w:r>
      <w:r w:rsidR="000E50E2" w:rsidRPr="000E50E2">
        <w:t>auth</w:t>
      </w:r>
      <w:r>
        <w:t>orized in Farm Bill to $20.6 million.</w:t>
      </w:r>
    </w:p>
    <w:p w:rsidR="000E50E2" w:rsidRDefault="000E50E2" w:rsidP="00844C71">
      <w:pPr>
        <w:spacing w:after="0" w:line="240" w:lineRule="auto"/>
      </w:pPr>
    </w:p>
    <w:p w:rsidR="00C372A9" w:rsidRPr="00BA13F1" w:rsidRDefault="00C372A9" w:rsidP="00844C71">
      <w:pPr>
        <w:spacing w:after="0" w:line="240" w:lineRule="auto"/>
        <w:rPr>
          <w:b/>
          <w:bCs/>
          <w:color w:val="403152" w:themeColor="accent4" w:themeShade="80"/>
          <w:sz w:val="24"/>
          <w:szCs w:val="24"/>
        </w:rPr>
      </w:pPr>
      <w:r>
        <w:rPr>
          <w:b/>
          <w:bCs/>
          <w:color w:val="403152" w:themeColor="accent4" w:themeShade="80"/>
          <w:sz w:val="24"/>
          <w:szCs w:val="24"/>
        </w:rPr>
        <w:t>Conclusion</w:t>
      </w:r>
    </w:p>
    <w:p w:rsidR="00C372A9" w:rsidRPr="00792E99" w:rsidRDefault="00C372A9" w:rsidP="00844C71">
      <w:pPr>
        <w:spacing w:after="0" w:line="240" w:lineRule="auto"/>
      </w:pPr>
    </w:p>
    <w:p w:rsidR="00CE0678" w:rsidRPr="00660EE7" w:rsidRDefault="00CE0678" w:rsidP="00844C71">
      <w:pPr>
        <w:spacing w:after="0" w:line="240" w:lineRule="auto"/>
      </w:pPr>
      <w:r w:rsidRPr="00660EE7">
        <w:t>While we recognize the difficult fiscal constraints under which you are operating, we respectfully ask you to recognize the importance of programs that improve the health and well-being of seniors and their families. Without your investment in these</w:t>
      </w:r>
      <w:r w:rsidR="00A219B5">
        <w:t xml:space="preserve"> discretionary</w:t>
      </w:r>
      <w:r w:rsidRPr="00660EE7">
        <w:t xml:space="preserve"> initiatives, the valuable services that </w:t>
      </w:r>
      <w:r w:rsidR="00AB75D5">
        <w:t>protect</w:t>
      </w:r>
      <w:r w:rsidRPr="00660EE7">
        <w:t xml:space="preserve"> older Americans against hunger, isolation, poor healt</w:t>
      </w:r>
      <w:r w:rsidR="00A23804" w:rsidRPr="00660EE7">
        <w:t>h, neglect, abuse, unemployment</w:t>
      </w:r>
      <w:r w:rsidRPr="00660EE7">
        <w:t xml:space="preserve"> and other challenges will fail to reach the aging population</w:t>
      </w:r>
      <w:r w:rsidR="00CF1A59">
        <w:t xml:space="preserve"> in need of these services</w:t>
      </w:r>
      <w:r w:rsidRPr="00660EE7">
        <w:t>.</w:t>
      </w:r>
    </w:p>
    <w:p w:rsidR="00CE0678" w:rsidRPr="00660EE7" w:rsidRDefault="00CE0678" w:rsidP="00844C71">
      <w:pPr>
        <w:spacing w:after="0" w:line="240" w:lineRule="auto"/>
      </w:pPr>
    </w:p>
    <w:p w:rsidR="00CE0678" w:rsidRPr="00660EE7" w:rsidRDefault="00CE0678" w:rsidP="00844C71">
      <w:pPr>
        <w:spacing w:after="0" w:line="240" w:lineRule="auto"/>
      </w:pPr>
      <w:r w:rsidRPr="00660EE7">
        <w:t>Under your leadership, LCAO hopes that in FY 201</w:t>
      </w:r>
      <w:r w:rsidR="00A219B5">
        <w:t>8</w:t>
      </w:r>
      <w:r w:rsidRPr="00660EE7">
        <w:t xml:space="preserve">, all </w:t>
      </w:r>
      <w:r w:rsidR="008B39C4" w:rsidRPr="00660EE7">
        <w:t xml:space="preserve">of these </w:t>
      </w:r>
      <w:r w:rsidR="00AB75D5">
        <w:t>programs will be funded at</w:t>
      </w:r>
      <w:r w:rsidRPr="00660EE7">
        <w:t xml:space="preserve"> level</w:t>
      </w:r>
      <w:r w:rsidR="00AB75D5">
        <w:t>s</w:t>
      </w:r>
      <w:r w:rsidRPr="00660EE7">
        <w:t xml:space="preserve"> that </w:t>
      </w:r>
      <w:r w:rsidR="00AB75D5">
        <w:t xml:space="preserve">enable them to meet a rapidly </w:t>
      </w:r>
      <w:r w:rsidRPr="00660EE7">
        <w:t>growing demand for services</w:t>
      </w:r>
      <w:r w:rsidR="00A219B5">
        <w:t>, and that current threats to these vital programs will be rejected</w:t>
      </w:r>
      <w:r w:rsidRPr="00660EE7">
        <w:t>.</w:t>
      </w:r>
      <w:r w:rsidR="00AB75D5">
        <w:t xml:space="preserve"> </w:t>
      </w:r>
      <w:r w:rsidRPr="00660EE7">
        <w:t xml:space="preserve">Thank you for your consideration, and we look forward to working with you to ensure </w:t>
      </w:r>
      <w:r w:rsidR="008B39C4" w:rsidRPr="00660EE7">
        <w:t>sustained investment in the OAA and other key aging programs.</w:t>
      </w:r>
    </w:p>
    <w:p w:rsidR="00CE0678" w:rsidRPr="00660EE7" w:rsidRDefault="00CE0678" w:rsidP="00844C71">
      <w:pPr>
        <w:spacing w:after="0" w:line="240" w:lineRule="auto"/>
      </w:pPr>
    </w:p>
    <w:p w:rsidR="00CE0678" w:rsidRPr="00660EE7" w:rsidRDefault="00CE0678" w:rsidP="00844C71">
      <w:pPr>
        <w:spacing w:after="0" w:line="240" w:lineRule="auto"/>
      </w:pPr>
      <w:r w:rsidRPr="00660EE7">
        <w:t>Sincerely,</w:t>
      </w:r>
    </w:p>
    <w:p w:rsidR="00CE0678" w:rsidRDefault="00CE0678" w:rsidP="00844C71">
      <w:pPr>
        <w:spacing w:after="0" w:line="240" w:lineRule="auto"/>
        <w:rPr>
          <w:i/>
        </w:rPr>
      </w:pPr>
      <w:r w:rsidRPr="00660EE7">
        <w:rPr>
          <w:i/>
        </w:rPr>
        <w:t>Signing Orgs</w:t>
      </w:r>
    </w:p>
    <w:p w:rsidR="00D773DA" w:rsidRDefault="00D773DA" w:rsidP="00844C71">
      <w:pPr>
        <w:spacing w:after="0" w:line="240" w:lineRule="auto"/>
        <w:rPr>
          <w:i/>
        </w:rPr>
      </w:pPr>
    </w:p>
    <w:p w:rsidR="00D773DA" w:rsidRDefault="00D773DA" w:rsidP="00844C71">
      <w:pPr>
        <w:spacing w:after="0" w:line="240" w:lineRule="auto"/>
        <w:ind w:left="720" w:hanging="720"/>
        <w:rPr>
          <w:iCs/>
        </w:rPr>
      </w:pPr>
      <w:r>
        <w:rPr>
          <w:iCs/>
        </w:rPr>
        <w:t>cc:</w:t>
      </w:r>
      <w:r>
        <w:rPr>
          <w:iCs/>
        </w:rPr>
        <w:tab/>
        <w:t>Chairman Roy Blunt and Ranking Member Patty Murray, Senate Subcommittee on Labor, Health and Human Services, Education, and Related Agencies</w:t>
      </w:r>
    </w:p>
    <w:p w:rsidR="00D773DA" w:rsidRDefault="00D773DA" w:rsidP="00844C71">
      <w:pPr>
        <w:spacing w:after="0" w:line="240" w:lineRule="auto"/>
        <w:ind w:left="720"/>
        <w:rPr>
          <w:iCs/>
        </w:rPr>
      </w:pPr>
    </w:p>
    <w:p w:rsidR="00D773DA" w:rsidRDefault="00D773DA" w:rsidP="00844C71">
      <w:pPr>
        <w:spacing w:after="0" w:line="240" w:lineRule="auto"/>
        <w:ind w:left="720"/>
        <w:rPr>
          <w:iCs/>
        </w:rPr>
      </w:pPr>
      <w:r>
        <w:rPr>
          <w:iCs/>
        </w:rPr>
        <w:t>Chairman Rom Cole and Ranking Member Rosa DeLauro, House Subcommittee on Labor, Health and Human Services, Education, and Related Agencies</w:t>
      </w:r>
    </w:p>
    <w:p w:rsidR="00D773DA" w:rsidRDefault="00D773DA" w:rsidP="00844C71">
      <w:pPr>
        <w:spacing w:after="0" w:line="240" w:lineRule="auto"/>
        <w:ind w:left="720"/>
        <w:rPr>
          <w:iCs/>
        </w:rPr>
      </w:pPr>
    </w:p>
    <w:p w:rsidR="00D773DA" w:rsidRDefault="00D773DA" w:rsidP="00844C71">
      <w:pPr>
        <w:spacing w:after="0" w:line="240" w:lineRule="auto"/>
        <w:ind w:left="720"/>
        <w:rPr>
          <w:iCs/>
        </w:rPr>
      </w:pPr>
      <w:r>
        <w:rPr>
          <w:iCs/>
        </w:rPr>
        <w:t>Chairman Susan Collins and Ranking Member Jack Reed, Senate Subcommittee on Transportation, Housing and Urban Development, and Related Agencies</w:t>
      </w:r>
    </w:p>
    <w:p w:rsidR="00D773DA" w:rsidRDefault="00D773DA" w:rsidP="00844C71">
      <w:pPr>
        <w:spacing w:after="0" w:line="240" w:lineRule="auto"/>
        <w:ind w:left="720"/>
        <w:rPr>
          <w:iCs/>
        </w:rPr>
      </w:pPr>
    </w:p>
    <w:p w:rsidR="00D773DA" w:rsidRDefault="00D773DA" w:rsidP="00844C71">
      <w:pPr>
        <w:spacing w:after="0" w:line="240" w:lineRule="auto"/>
        <w:ind w:left="720"/>
        <w:rPr>
          <w:iCs/>
        </w:rPr>
      </w:pPr>
      <w:r>
        <w:rPr>
          <w:iCs/>
        </w:rPr>
        <w:t>Chairman Mario Diaz-Balart and Ranking member David Price, House Subcommittee on Transportation, Housing and Urban Development, and Related Agencies</w:t>
      </w:r>
    </w:p>
    <w:p w:rsidR="00D773DA" w:rsidRDefault="00D773DA" w:rsidP="00844C71">
      <w:pPr>
        <w:spacing w:after="0" w:line="240" w:lineRule="auto"/>
        <w:ind w:left="720"/>
        <w:rPr>
          <w:iCs/>
        </w:rPr>
      </w:pPr>
    </w:p>
    <w:p w:rsidR="00D773DA" w:rsidRDefault="00D773DA" w:rsidP="00844C71">
      <w:pPr>
        <w:spacing w:after="0" w:line="240" w:lineRule="auto"/>
        <w:ind w:left="720"/>
        <w:rPr>
          <w:iCs/>
        </w:rPr>
      </w:pPr>
      <w:r>
        <w:rPr>
          <w:iCs/>
        </w:rPr>
        <w:t>Chairman Richard Shelby and Ranking Member Jeanne Shaheen, Senate Subcommittee on Commerce, Justice, Science, and Related Agencies</w:t>
      </w:r>
    </w:p>
    <w:p w:rsidR="00D773DA" w:rsidRDefault="00D773DA" w:rsidP="00844C71">
      <w:pPr>
        <w:spacing w:after="0" w:line="240" w:lineRule="auto"/>
        <w:ind w:left="720"/>
        <w:rPr>
          <w:iCs/>
        </w:rPr>
      </w:pPr>
    </w:p>
    <w:p w:rsidR="00D773DA" w:rsidRDefault="00D773DA" w:rsidP="00844C71">
      <w:pPr>
        <w:spacing w:after="0" w:line="240" w:lineRule="auto"/>
        <w:ind w:left="720"/>
        <w:rPr>
          <w:iCs/>
        </w:rPr>
      </w:pPr>
      <w:r>
        <w:rPr>
          <w:iCs/>
        </w:rPr>
        <w:t>Chairman John Culberson and Ranking Member José Serrano, House Subcommittee on Commerce, Justice, Science, and Related Agencies</w:t>
      </w:r>
    </w:p>
    <w:p w:rsidR="00C372A9" w:rsidRDefault="00C372A9" w:rsidP="00844C71">
      <w:pPr>
        <w:spacing w:after="0" w:line="240" w:lineRule="auto"/>
        <w:rPr>
          <w:iCs/>
        </w:rPr>
      </w:pPr>
    </w:p>
    <w:p w:rsidR="00E10C5D" w:rsidRDefault="00C372A9" w:rsidP="00844C71">
      <w:pPr>
        <w:spacing w:after="0" w:line="240" w:lineRule="auto"/>
        <w:ind w:left="720"/>
        <w:rPr>
          <w:iCs/>
        </w:rPr>
      </w:pPr>
      <w:r>
        <w:rPr>
          <w:iCs/>
        </w:rPr>
        <w:t xml:space="preserve">Chairman </w:t>
      </w:r>
      <w:r w:rsidR="00E10C5D">
        <w:rPr>
          <w:iCs/>
        </w:rPr>
        <w:t xml:space="preserve">John Hoeven </w:t>
      </w:r>
      <w:r>
        <w:rPr>
          <w:iCs/>
        </w:rPr>
        <w:t>and Ranking Member</w:t>
      </w:r>
      <w:r w:rsidR="00E10C5D">
        <w:rPr>
          <w:iCs/>
        </w:rPr>
        <w:t xml:space="preserve"> Jeff Merkley</w:t>
      </w:r>
      <w:r>
        <w:rPr>
          <w:iCs/>
        </w:rPr>
        <w:t>, House Subcommittee on Agriculture, Ru</w:t>
      </w:r>
      <w:r w:rsidR="00BA13F1">
        <w:rPr>
          <w:iCs/>
        </w:rPr>
        <w:t>r</w:t>
      </w:r>
      <w:r>
        <w:rPr>
          <w:iCs/>
        </w:rPr>
        <w:t xml:space="preserve">al </w:t>
      </w:r>
      <w:r w:rsidR="00BA13F1">
        <w:rPr>
          <w:iCs/>
        </w:rPr>
        <w:t>Development</w:t>
      </w:r>
      <w:r>
        <w:rPr>
          <w:iCs/>
        </w:rPr>
        <w:t xml:space="preserve"> and Food and Drug Administration, and Related Agencies</w:t>
      </w:r>
    </w:p>
    <w:p w:rsidR="00E10C5D" w:rsidRDefault="00E10C5D" w:rsidP="00844C71">
      <w:pPr>
        <w:spacing w:after="0" w:line="240" w:lineRule="auto"/>
        <w:ind w:left="720"/>
        <w:rPr>
          <w:iCs/>
        </w:rPr>
      </w:pPr>
    </w:p>
    <w:p w:rsidR="00E10C5D" w:rsidRDefault="00E10C5D" w:rsidP="00844C71">
      <w:pPr>
        <w:spacing w:after="0" w:line="240" w:lineRule="auto"/>
        <w:ind w:left="720"/>
        <w:rPr>
          <w:iCs/>
        </w:rPr>
      </w:pPr>
      <w:r>
        <w:rPr>
          <w:iCs/>
        </w:rPr>
        <w:t>Chairman Robert Aderholt and Ranking Member Sanford Bishop, House Subcommittee on Agriculture, Ru</w:t>
      </w:r>
      <w:r w:rsidR="00BA13F1">
        <w:rPr>
          <w:iCs/>
        </w:rPr>
        <w:t>r</w:t>
      </w:r>
      <w:r>
        <w:rPr>
          <w:iCs/>
        </w:rPr>
        <w:t xml:space="preserve">al </w:t>
      </w:r>
      <w:r w:rsidR="00BA13F1">
        <w:rPr>
          <w:iCs/>
        </w:rPr>
        <w:t>Development</w:t>
      </w:r>
      <w:r>
        <w:rPr>
          <w:iCs/>
        </w:rPr>
        <w:t xml:space="preserve"> and Food and Drug Administration, and Related Agencies</w:t>
      </w:r>
    </w:p>
    <w:p w:rsidR="00C372A9" w:rsidRDefault="00C372A9" w:rsidP="00844C71">
      <w:pPr>
        <w:spacing w:after="0" w:line="240" w:lineRule="auto"/>
        <w:ind w:left="720"/>
        <w:rPr>
          <w:iCs/>
        </w:rPr>
      </w:pPr>
      <w:r>
        <w:rPr>
          <w:iCs/>
        </w:rPr>
        <w:br/>
      </w:r>
    </w:p>
    <w:p w:rsidR="00C372A9" w:rsidRDefault="00C372A9" w:rsidP="00844C71">
      <w:pPr>
        <w:spacing w:after="0" w:line="240" w:lineRule="auto"/>
        <w:ind w:left="720"/>
        <w:rPr>
          <w:iCs/>
        </w:rPr>
      </w:pPr>
    </w:p>
    <w:p w:rsidR="00D773DA" w:rsidRDefault="00D773DA" w:rsidP="00844C71">
      <w:pPr>
        <w:spacing w:after="0" w:line="240" w:lineRule="auto"/>
        <w:ind w:left="720"/>
        <w:rPr>
          <w:iCs/>
        </w:rPr>
      </w:pPr>
    </w:p>
    <w:p w:rsidR="00D773DA" w:rsidRDefault="00D773DA" w:rsidP="00844C71">
      <w:pPr>
        <w:spacing w:after="0" w:line="240" w:lineRule="auto"/>
        <w:ind w:left="720"/>
        <w:rPr>
          <w:iCs/>
        </w:rPr>
      </w:pPr>
    </w:p>
    <w:p w:rsidR="00D773DA" w:rsidRPr="00D773DA" w:rsidRDefault="00D773DA" w:rsidP="00844C71">
      <w:pPr>
        <w:spacing w:after="0" w:line="240" w:lineRule="auto"/>
        <w:ind w:left="720"/>
        <w:rPr>
          <w:iCs/>
        </w:rPr>
      </w:pPr>
    </w:p>
    <w:sectPr w:rsidR="00D773DA" w:rsidRPr="00D773DA" w:rsidSect="006C52AD">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3A80" w:rsidRDefault="00F73A80" w:rsidP="00442BC0">
      <w:pPr>
        <w:spacing w:after="0" w:line="240" w:lineRule="auto"/>
      </w:pPr>
      <w:r>
        <w:separator/>
      </w:r>
    </w:p>
  </w:endnote>
  <w:endnote w:type="continuationSeparator" w:id="0">
    <w:p w:rsidR="00F73A80" w:rsidRDefault="00F73A80" w:rsidP="00442B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13F1" w:rsidRDefault="00BA13F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24544824"/>
      <w:docPartObj>
        <w:docPartGallery w:val="Page Numbers (Bottom of Page)"/>
        <w:docPartUnique/>
      </w:docPartObj>
    </w:sdtPr>
    <w:sdtEndPr>
      <w:rPr>
        <w:noProof/>
      </w:rPr>
    </w:sdtEndPr>
    <w:sdtContent>
      <w:p w:rsidR="00442BC0" w:rsidRDefault="00442BC0">
        <w:pPr>
          <w:pStyle w:val="Footer"/>
          <w:jc w:val="center"/>
        </w:pPr>
        <w:r>
          <w:fldChar w:fldCharType="begin"/>
        </w:r>
        <w:r>
          <w:instrText xml:space="preserve"> PAGE   \* MERGEFORMAT </w:instrText>
        </w:r>
        <w:r>
          <w:fldChar w:fldCharType="separate"/>
        </w:r>
        <w:r w:rsidR="00844C71">
          <w:rPr>
            <w:noProof/>
          </w:rPr>
          <w:t>9</w:t>
        </w:r>
        <w:r>
          <w:rPr>
            <w:noProof/>
          </w:rPr>
          <w:fldChar w:fldCharType="end"/>
        </w:r>
      </w:p>
    </w:sdtContent>
  </w:sdt>
  <w:p w:rsidR="00442BC0" w:rsidRDefault="00442BC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13F1" w:rsidRDefault="00BA13F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3A80" w:rsidRDefault="00F73A80" w:rsidP="00442BC0">
      <w:pPr>
        <w:spacing w:after="0" w:line="240" w:lineRule="auto"/>
      </w:pPr>
      <w:r>
        <w:separator/>
      </w:r>
    </w:p>
  </w:footnote>
  <w:footnote w:type="continuationSeparator" w:id="0">
    <w:p w:rsidR="00F73A80" w:rsidRDefault="00F73A80" w:rsidP="00442B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13F1" w:rsidRDefault="00BA13F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920460"/>
      <w:docPartObj>
        <w:docPartGallery w:val="Watermarks"/>
        <w:docPartUnique/>
      </w:docPartObj>
    </w:sdtPr>
    <w:sdtContent>
      <w:p w:rsidR="00BA13F1" w:rsidRDefault="00BA13F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13F1" w:rsidRDefault="00BA13F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F4226E"/>
    <w:multiLevelType w:val="hybridMultilevel"/>
    <w:tmpl w:val="31B2C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1E91"/>
    <w:rsid w:val="00026E81"/>
    <w:rsid w:val="000318C2"/>
    <w:rsid w:val="000903D6"/>
    <w:rsid w:val="0009261B"/>
    <w:rsid w:val="0009705C"/>
    <w:rsid w:val="000E50E2"/>
    <w:rsid w:val="00104737"/>
    <w:rsid w:val="001231E1"/>
    <w:rsid w:val="001664F2"/>
    <w:rsid w:val="00174FB1"/>
    <w:rsid w:val="001914CF"/>
    <w:rsid w:val="001C69D4"/>
    <w:rsid w:val="001F44FB"/>
    <w:rsid w:val="00201FF0"/>
    <w:rsid w:val="00230CCB"/>
    <w:rsid w:val="002E1187"/>
    <w:rsid w:val="002E47DC"/>
    <w:rsid w:val="00304086"/>
    <w:rsid w:val="00346EF9"/>
    <w:rsid w:val="00367D14"/>
    <w:rsid w:val="00375551"/>
    <w:rsid w:val="003A0FA3"/>
    <w:rsid w:val="003B3071"/>
    <w:rsid w:val="003B41FE"/>
    <w:rsid w:val="003D4EC4"/>
    <w:rsid w:val="004127C4"/>
    <w:rsid w:val="00431E5C"/>
    <w:rsid w:val="00435FA5"/>
    <w:rsid w:val="00442BC0"/>
    <w:rsid w:val="0046715D"/>
    <w:rsid w:val="00474D58"/>
    <w:rsid w:val="00496AA6"/>
    <w:rsid w:val="004B7FDA"/>
    <w:rsid w:val="004C494F"/>
    <w:rsid w:val="005255CE"/>
    <w:rsid w:val="00564455"/>
    <w:rsid w:val="00567C18"/>
    <w:rsid w:val="00594155"/>
    <w:rsid w:val="005D1B48"/>
    <w:rsid w:val="005F165E"/>
    <w:rsid w:val="00605B06"/>
    <w:rsid w:val="00615B8A"/>
    <w:rsid w:val="00660EE7"/>
    <w:rsid w:val="00666E8C"/>
    <w:rsid w:val="00691E91"/>
    <w:rsid w:val="00693227"/>
    <w:rsid w:val="00696338"/>
    <w:rsid w:val="006C2FFE"/>
    <w:rsid w:val="006C52AD"/>
    <w:rsid w:val="006D5079"/>
    <w:rsid w:val="00763643"/>
    <w:rsid w:val="00790EE4"/>
    <w:rsid w:val="00792E99"/>
    <w:rsid w:val="007A7970"/>
    <w:rsid w:val="007C0854"/>
    <w:rsid w:val="007C3A35"/>
    <w:rsid w:val="007C61B8"/>
    <w:rsid w:val="007D3B9F"/>
    <w:rsid w:val="007E0558"/>
    <w:rsid w:val="00803B6F"/>
    <w:rsid w:val="00804430"/>
    <w:rsid w:val="00817C70"/>
    <w:rsid w:val="00844C71"/>
    <w:rsid w:val="008760E1"/>
    <w:rsid w:val="0088360D"/>
    <w:rsid w:val="008A3099"/>
    <w:rsid w:val="008B39C4"/>
    <w:rsid w:val="008B5A50"/>
    <w:rsid w:val="008C3E89"/>
    <w:rsid w:val="009265FC"/>
    <w:rsid w:val="00941AEA"/>
    <w:rsid w:val="009621D2"/>
    <w:rsid w:val="00994523"/>
    <w:rsid w:val="009E35E7"/>
    <w:rsid w:val="009E3621"/>
    <w:rsid w:val="00A12312"/>
    <w:rsid w:val="00A219B5"/>
    <w:rsid w:val="00A23804"/>
    <w:rsid w:val="00A622F1"/>
    <w:rsid w:val="00A62EFA"/>
    <w:rsid w:val="00A678A1"/>
    <w:rsid w:val="00A91B32"/>
    <w:rsid w:val="00A9591C"/>
    <w:rsid w:val="00AB75D5"/>
    <w:rsid w:val="00AD3D20"/>
    <w:rsid w:val="00B17941"/>
    <w:rsid w:val="00B21F02"/>
    <w:rsid w:val="00B24660"/>
    <w:rsid w:val="00B25BE3"/>
    <w:rsid w:val="00B36EF8"/>
    <w:rsid w:val="00B85D10"/>
    <w:rsid w:val="00B95A1A"/>
    <w:rsid w:val="00B968F8"/>
    <w:rsid w:val="00BA13F1"/>
    <w:rsid w:val="00BB515C"/>
    <w:rsid w:val="00BD349E"/>
    <w:rsid w:val="00BF0EA6"/>
    <w:rsid w:val="00C016FC"/>
    <w:rsid w:val="00C03CD2"/>
    <w:rsid w:val="00C155BA"/>
    <w:rsid w:val="00C372A9"/>
    <w:rsid w:val="00C94FEC"/>
    <w:rsid w:val="00CE0678"/>
    <w:rsid w:val="00CE3559"/>
    <w:rsid w:val="00CE5365"/>
    <w:rsid w:val="00CF1A59"/>
    <w:rsid w:val="00CF5E25"/>
    <w:rsid w:val="00D01DCE"/>
    <w:rsid w:val="00D5706D"/>
    <w:rsid w:val="00D6505E"/>
    <w:rsid w:val="00D773DA"/>
    <w:rsid w:val="00D865A5"/>
    <w:rsid w:val="00D8734A"/>
    <w:rsid w:val="00DA14E1"/>
    <w:rsid w:val="00DA1A01"/>
    <w:rsid w:val="00DA50A6"/>
    <w:rsid w:val="00DD3A2F"/>
    <w:rsid w:val="00DF19A0"/>
    <w:rsid w:val="00E10C5D"/>
    <w:rsid w:val="00E24F8C"/>
    <w:rsid w:val="00E41DEB"/>
    <w:rsid w:val="00E7251D"/>
    <w:rsid w:val="00E77E9F"/>
    <w:rsid w:val="00E80036"/>
    <w:rsid w:val="00E93885"/>
    <w:rsid w:val="00EA11C8"/>
    <w:rsid w:val="00EB3B7F"/>
    <w:rsid w:val="00EE6443"/>
    <w:rsid w:val="00F13B1C"/>
    <w:rsid w:val="00F73A80"/>
    <w:rsid w:val="00F73F6B"/>
    <w:rsid w:val="00FC327F"/>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CA48F3F5-6476-4D3F-AC59-0B1E7AE33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17C70"/>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B36EF8"/>
    <w:rPr>
      <w:rFonts w:ascii="Times New Roman" w:hAnsi="Times New Roman" w:cs="Times New Roman"/>
      <w:sz w:val="24"/>
      <w:szCs w:val="24"/>
    </w:rPr>
  </w:style>
  <w:style w:type="paragraph" w:styleId="NoSpacing">
    <w:name w:val="No Spacing"/>
    <w:uiPriority w:val="1"/>
    <w:qFormat/>
    <w:rsid w:val="00BB515C"/>
    <w:pPr>
      <w:spacing w:after="0" w:line="240" w:lineRule="auto"/>
    </w:pPr>
  </w:style>
  <w:style w:type="paragraph" w:styleId="BalloonText">
    <w:name w:val="Balloon Text"/>
    <w:basedOn w:val="Normal"/>
    <w:link w:val="BalloonTextChar"/>
    <w:uiPriority w:val="99"/>
    <w:semiHidden/>
    <w:unhideWhenUsed/>
    <w:rsid w:val="006C2F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2FFE"/>
    <w:rPr>
      <w:rFonts w:ascii="Tahoma" w:hAnsi="Tahoma" w:cs="Tahoma"/>
      <w:sz w:val="16"/>
      <w:szCs w:val="16"/>
    </w:rPr>
  </w:style>
  <w:style w:type="character" w:styleId="CommentReference">
    <w:name w:val="annotation reference"/>
    <w:basedOn w:val="DefaultParagraphFont"/>
    <w:uiPriority w:val="99"/>
    <w:semiHidden/>
    <w:unhideWhenUsed/>
    <w:rsid w:val="00474D58"/>
    <w:rPr>
      <w:sz w:val="16"/>
      <w:szCs w:val="16"/>
    </w:rPr>
  </w:style>
  <w:style w:type="paragraph" w:styleId="CommentText">
    <w:name w:val="annotation text"/>
    <w:basedOn w:val="Normal"/>
    <w:link w:val="CommentTextChar"/>
    <w:uiPriority w:val="99"/>
    <w:semiHidden/>
    <w:unhideWhenUsed/>
    <w:rsid w:val="00474D58"/>
    <w:pPr>
      <w:spacing w:line="240" w:lineRule="auto"/>
    </w:pPr>
    <w:rPr>
      <w:sz w:val="20"/>
      <w:szCs w:val="20"/>
    </w:rPr>
  </w:style>
  <w:style w:type="character" w:customStyle="1" w:styleId="CommentTextChar">
    <w:name w:val="Comment Text Char"/>
    <w:basedOn w:val="DefaultParagraphFont"/>
    <w:link w:val="CommentText"/>
    <w:uiPriority w:val="99"/>
    <w:semiHidden/>
    <w:rsid w:val="00474D58"/>
    <w:rPr>
      <w:sz w:val="20"/>
      <w:szCs w:val="20"/>
    </w:rPr>
  </w:style>
  <w:style w:type="paragraph" w:styleId="CommentSubject">
    <w:name w:val="annotation subject"/>
    <w:basedOn w:val="CommentText"/>
    <w:next w:val="CommentText"/>
    <w:link w:val="CommentSubjectChar"/>
    <w:uiPriority w:val="99"/>
    <w:semiHidden/>
    <w:unhideWhenUsed/>
    <w:rsid w:val="00474D58"/>
    <w:rPr>
      <w:b/>
      <w:bCs/>
    </w:rPr>
  </w:style>
  <w:style w:type="character" w:customStyle="1" w:styleId="CommentSubjectChar">
    <w:name w:val="Comment Subject Char"/>
    <w:basedOn w:val="CommentTextChar"/>
    <w:link w:val="CommentSubject"/>
    <w:uiPriority w:val="99"/>
    <w:semiHidden/>
    <w:rsid w:val="00474D58"/>
    <w:rPr>
      <w:b/>
      <w:bCs/>
      <w:sz w:val="20"/>
      <w:szCs w:val="20"/>
    </w:rPr>
  </w:style>
  <w:style w:type="paragraph" w:styleId="ListParagraph">
    <w:name w:val="List Paragraph"/>
    <w:basedOn w:val="Normal"/>
    <w:uiPriority w:val="34"/>
    <w:qFormat/>
    <w:rsid w:val="00E80036"/>
    <w:pPr>
      <w:ind w:left="720"/>
      <w:contextualSpacing/>
    </w:pPr>
  </w:style>
  <w:style w:type="character" w:styleId="Hyperlink">
    <w:name w:val="Hyperlink"/>
    <w:basedOn w:val="DefaultParagraphFont"/>
    <w:uiPriority w:val="99"/>
    <w:unhideWhenUsed/>
    <w:rsid w:val="00DA1A01"/>
    <w:rPr>
      <w:color w:val="0000FF" w:themeColor="hyperlink"/>
      <w:u w:val="single"/>
    </w:rPr>
  </w:style>
  <w:style w:type="paragraph" w:styleId="Header">
    <w:name w:val="header"/>
    <w:basedOn w:val="Normal"/>
    <w:link w:val="HeaderChar"/>
    <w:uiPriority w:val="99"/>
    <w:unhideWhenUsed/>
    <w:rsid w:val="00442B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2BC0"/>
  </w:style>
  <w:style w:type="paragraph" w:styleId="Footer">
    <w:name w:val="footer"/>
    <w:basedOn w:val="Normal"/>
    <w:link w:val="FooterChar"/>
    <w:uiPriority w:val="99"/>
    <w:unhideWhenUsed/>
    <w:rsid w:val="00442B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2B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993239">
      <w:bodyDiv w:val="1"/>
      <w:marLeft w:val="0"/>
      <w:marRight w:val="0"/>
      <w:marTop w:val="0"/>
      <w:marBottom w:val="0"/>
      <w:divBdr>
        <w:top w:val="none" w:sz="0" w:space="0" w:color="auto"/>
        <w:left w:val="none" w:sz="0" w:space="0" w:color="auto"/>
        <w:bottom w:val="none" w:sz="0" w:space="0" w:color="auto"/>
        <w:right w:val="none" w:sz="0" w:space="0" w:color="auto"/>
      </w:divBdr>
    </w:div>
    <w:div w:id="164365254">
      <w:bodyDiv w:val="1"/>
      <w:marLeft w:val="0"/>
      <w:marRight w:val="0"/>
      <w:marTop w:val="0"/>
      <w:marBottom w:val="0"/>
      <w:divBdr>
        <w:top w:val="none" w:sz="0" w:space="0" w:color="auto"/>
        <w:left w:val="none" w:sz="0" w:space="0" w:color="auto"/>
        <w:bottom w:val="none" w:sz="0" w:space="0" w:color="auto"/>
        <w:right w:val="none" w:sz="0" w:space="0" w:color="auto"/>
      </w:divBdr>
    </w:div>
    <w:div w:id="273026391">
      <w:bodyDiv w:val="1"/>
      <w:marLeft w:val="0"/>
      <w:marRight w:val="0"/>
      <w:marTop w:val="0"/>
      <w:marBottom w:val="0"/>
      <w:divBdr>
        <w:top w:val="none" w:sz="0" w:space="0" w:color="auto"/>
        <w:left w:val="none" w:sz="0" w:space="0" w:color="auto"/>
        <w:bottom w:val="none" w:sz="0" w:space="0" w:color="auto"/>
        <w:right w:val="none" w:sz="0" w:space="0" w:color="auto"/>
      </w:divBdr>
    </w:div>
    <w:div w:id="398092406">
      <w:bodyDiv w:val="1"/>
      <w:marLeft w:val="0"/>
      <w:marRight w:val="0"/>
      <w:marTop w:val="0"/>
      <w:marBottom w:val="0"/>
      <w:divBdr>
        <w:top w:val="none" w:sz="0" w:space="0" w:color="auto"/>
        <w:left w:val="none" w:sz="0" w:space="0" w:color="auto"/>
        <w:bottom w:val="none" w:sz="0" w:space="0" w:color="auto"/>
        <w:right w:val="none" w:sz="0" w:space="0" w:color="auto"/>
      </w:divBdr>
    </w:div>
    <w:div w:id="486946947">
      <w:bodyDiv w:val="1"/>
      <w:marLeft w:val="0"/>
      <w:marRight w:val="0"/>
      <w:marTop w:val="0"/>
      <w:marBottom w:val="0"/>
      <w:divBdr>
        <w:top w:val="none" w:sz="0" w:space="0" w:color="auto"/>
        <w:left w:val="none" w:sz="0" w:space="0" w:color="auto"/>
        <w:bottom w:val="none" w:sz="0" w:space="0" w:color="auto"/>
        <w:right w:val="none" w:sz="0" w:space="0" w:color="auto"/>
      </w:divBdr>
      <w:divsChild>
        <w:div w:id="1648626931">
          <w:marLeft w:val="0"/>
          <w:marRight w:val="0"/>
          <w:marTop w:val="0"/>
          <w:marBottom w:val="0"/>
          <w:divBdr>
            <w:top w:val="none" w:sz="0" w:space="0" w:color="auto"/>
            <w:left w:val="none" w:sz="0" w:space="0" w:color="auto"/>
            <w:bottom w:val="none" w:sz="0" w:space="0" w:color="auto"/>
            <w:right w:val="none" w:sz="0" w:space="0" w:color="auto"/>
          </w:divBdr>
        </w:div>
        <w:div w:id="1463841010">
          <w:marLeft w:val="0"/>
          <w:marRight w:val="0"/>
          <w:marTop w:val="0"/>
          <w:marBottom w:val="0"/>
          <w:divBdr>
            <w:top w:val="none" w:sz="0" w:space="0" w:color="auto"/>
            <w:left w:val="none" w:sz="0" w:space="0" w:color="auto"/>
            <w:bottom w:val="none" w:sz="0" w:space="0" w:color="auto"/>
            <w:right w:val="none" w:sz="0" w:space="0" w:color="auto"/>
          </w:divBdr>
        </w:div>
        <w:div w:id="381101180">
          <w:marLeft w:val="0"/>
          <w:marRight w:val="0"/>
          <w:marTop w:val="0"/>
          <w:marBottom w:val="0"/>
          <w:divBdr>
            <w:top w:val="none" w:sz="0" w:space="0" w:color="auto"/>
            <w:left w:val="none" w:sz="0" w:space="0" w:color="auto"/>
            <w:bottom w:val="none" w:sz="0" w:space="0" w:color="auto"/>
            <w:right w:val="none" w:sz="0" w:space="0" w:color="auto"/>
          </w:divBdr>
        </w:div>
        <w:div w:id="962618653">
          <w:marLeft w:val="0"/>
          <w:marRight w:val="0"/>
          <w:marTop w:val="0"/>
          <w:marBottom w:val="0"/>
          <w:divBdr>
            <w:top w:val="none" w:sz="0" w:space="0" w:color="auto"/>
            <w:left w:val="none" w:sz="0" w:space="0" w:color="auto"/>
            <w:bottom w:val="none" w:sz="0" w:space="0" w:color="auto"/>
            <w:right w:val="none" w:sz="0" w:space="0" w:color="auto"/>
          </w:divBdr>
        </w:div>
        <w:div w:id="508913267">
          <w:marLeft w:val="0"/>
          <w:marRight w:val="0"/>
          <w:marTop w:val="0"/>
          <w:marBottom w:val="0"/>
          <w:divBdr>
            <w:top w:val="none" w:sz="0" w:space="0" w:color="auto"/>
            <w:left w:val="none" w:sz="0" w:space="0" w:color="auto"/>
            <w:bottom w:val="none" w:sz="0" w:space="0" w:color="auto"/>
            <w:right w:val="none" w:sz="0" w:space="0" w:color="auto"/>
          </w:divBdr>
        </w:div>
        <w:div w:id="2002583682">
          <w:marLeft w:val="0"/>
          <w:marRight w:val="0"/>
          <w:marTop w:val="0"/>
          <w:marBottom w:val="0"/>
          <w:divBdr>
            <w:top w:val="none" w:sz="0" w:space="0" w:color="auto"/>
            <w:left w:val="none" w:sz="0" w:space="0" w:color="auto"/>
            <w:bottom w:val="none" w:sz="0" w:space="0" w:color="auto"/>
            <w:right w:val="none" w:sz="0" w:space="0" w:color="auto"/>
          </w:divBdr>
        </w:div>
        <w:div w:id="2038775771">
          <w:marLeft w:val="0"/>
          <w:marRight w:val="0"/>
          <w:marTop w:val="0"/>
          <w:marBottom w:val="0"/>
          <w:divBdr>
            <w:top w:val="none" w:sz="0" w:space="0" w:color="auto"/>
            <w:left w:val="none" w:sz="0" w:space="0" w:color="auto"/>
            <w:bottom w:val="none" w:sz="0" w:space="0" w:color="auto"/>
            <w:right w:val="none" w:sz="0" w:space="0" w:color="auto"/>
          </w:divBdr>
        </w:div>
        <w:div w:id="1460418459">
          <w:marLeft w:val="0"/>
          <w:marRight w:val="0"/>
          <w:marTop w:val="0"/>
          <w:marBottom w:val="0"/>
          <w:divBdr>
            <w:top w:val="none" w:sz="0" w:space="0" w:color="auto"/>
            <w:left w:val="none" w:sz="0" w:space="0" w:color="auto"/>
            <w:bottom w:val="none" w:sz="0" w:space="0" w:color="auto"/>
            <w:right w:val="none" w:sz="0" w:space="0" w:color="auto"/>
          </w:divBdr>
        </w:div>
        <w:div w:id="1460420383">
          <w:marLeft w:val="0"/>
          <w:marRight w:val="0"/>
          <w:marTop w:val="0"/>
          <w:marBottom w:val="0"/>
          <w:divBdr>
            <w:top w:val="none" w:sz="0" w:space="0" w:color="auto"/>
            <w:left w:val="none" w:sz="0" w:space="0" w:color="auto"/>
            <w:bottom w:val="none" w:sz="0" w:space="0" w:color="auto"/>
            <w:right w:val="none" w:sz="0" w:space="0" w:color="auto"/>
          </w:divBdr>
        </w:div>
        <w:div w:id="577907549">
          <w:marLeft w:val="0"/>
          <w:marRight w:val="0"/>
          <w:marTop w:val="0"/>
          <w:marBottom w:val="0"/>
          <w:divBdr>
            <w:top w:val="none" w:sz="0" w:space="0" w:color="auto"/>
            <w:left w:val="none" w:sz="0" w:space="0" w:color="auto"/>
            <w:bottom w:val="none" w:sz="0" w:space="0" w:color="auto"/>
            <w:right w:val="none" w:sz="0" w:space="0" w:color="auto"/>
          </w:divBdr>
        </w:div>
        <w:div w:id="736436436">
          <w:marLeft w:val="0"/>
          <w:marRight w:val="0"/>
          <w:marTop w:val="0"/>
          <w:marBottom w:val="0"/>
          <w:divBdr>
            <w:top w:val="none" w:sz="0" w:space="0" w:color="auto"/>
            <w:left w:val="none" w:sz="0" w:space="0" w:color="auto"/>
            <w:bottom w:val="none" w:sz="0" w:space="0" w:color="auto"/>
            <w:right w:val="none" w:sz="0" w:space="0" w:color="auto"/>
          </w:divBdr>
        </w:div>
        <w:div w:id="1853915114">
          <w:marLeft w:val="0"/>
          <w:marRight w:val="0"/>
          <w:marTop w:val="0"/>
          <w:marBottom w:val="0"/>
          <w:divBdr>
            <w:top w:val="none" w:sz="0" w:space="0" w:color="auto"/>
            <w:left w:val="none" w:sz="0" w:space="0" w:color="auto"/>
            <w:bottom w:val="none" w:sz="0" w:space="0" w:color="auto"/>
            <w:right w:val="none" w:sz="0" w:space="0" w:color="auto"/>
          </w:divBdr>
        </w:div>
        <w:div w:id="1820607225">
          <w:marLeft w:val="0"/>
          <w:marRight w:val="0"/>
          <w:marTop w:val="0"/>
          <w:marBottom w:val="0"/>
          <w:divBdr>
            <w:top w:val="none" w:sz="0" w:space="0" w:color="auto"/>
            <w:left w:val="none" w:sz="0" w:space="0" w:color="auto"/>
            <w:bottom w:val="none" w:sz="0" w:space="0" w:color="auto"/>
            <w:right w:val="none" w:sz="0" w:space="0" w:color="auto"/>
          </w:divBdr>
        </w:div>
        <w:div w:id="1872960560">
          <w:marLeft w:val="0"/>
          <w:marRight w:val="0"/>
          <w:marTop w:val="0"/>
          <w:marBottom w:val="0"/>
          <w:divBdr>
            <w:top w:val="none" w:sz="0" w:space="0" w:color="auto"/>
            <w:left w:val="none" w:sz="0" w:space="0" w:color="auto"/>
            <w:bottom w:val="none" w:sz="0" w:space="0" w:color="auto"/>
            <w:right w:val="none" w:sz="0" w:space="0" w:color="auto"/>
          </w:divBdr>
        </w:div>
        <w:div w:id="2141149631">
          <w:marLeft w:val="0"/>
          <w:marRight w:val="0"/>
          <w:marTop w:val="0"/>
          <w:marBottom w:val="0"/>
          <w:divBdr>
            <w:top w:val="none" w:sz="0" w:space="0" w:color="auto"/>
            <w:left w:val="none" w:sz="0" w:space="0" w:color="auto"/>
            <w:bottom w:val="none" w:sz="0" w:space="0" w:color="auto"/>
            <w:right w:val="none" w:sz="0" w:space="0" w:color="auto"/>
          </w:divBdr>
        </w:div>
        <w:div w:id="393479482">
          <w:marLeft w:val="0"/>
          <w:marRight w:val="0"/>
          <w:marTop w:val="0"/>
          <w:marBottom w:val="0"/>
          <w:divBdr>
            <w:top w:val="none" w:sz="0" w:space="0" w:color="auto"/>
            <w:left w:val="none" w:sz="0" w:space="0" w:color="auto"/>
            <w:bottom w:val="none" w:sz="0" w:space="0" w:color="auto"/>
            <w:right w:val="none" w:sz="0" w:space="0" w:color="auto"/>
          </w:divBdr>
        </w:div>
        <w:div w:id="388381514">
          <w:marLeft w:val="0"/>
          <w:marRight w:val="0"/>
          <w:marTop w:val="0"/>
          <w:marBottom w:val="0"/>
          <w:divBdr>
            <w:top w:val="none" w:sz="0" w:space="0" w:color="auto"/>
            <w:left w:val="none" w:sz="0" w:space="0" w:color="auto"/>
            <w:bottom w:val="none" w:sz="0" w:space="0" w:color="auto"/>
            <w:right w:val="none" w:sz="0" w:space="0" w:color="auto"/>
          </w:divBdr>
        </w:div>
        <w:div w:id="253519146">
          <w:marLeft w:val="0"/>
          <w:marRight w:val="0"/>
          <w:marTop w:val="0"/>
          <w:marBottom w:val="0"/>
          <w:divBdr>
            <w:top w:val="none" w:sz="0" w:space="0" w:color="auto"/>
            <w:left w:val="none" w:sz="0" w:space="0" w:color="auto"/>
            <w:bottom w:val="none" w:sz="0" w:space="0" w:color="auto"/>
            <w:right w:val="none" w:sz="0" w:space="0" w:color="auto"/>
          </w:divBdr>
        </w:div>
        <w:div w:id="498812228">
          <w:marLeft w:val="0"/>
          <w:marRight w:val="0"/>
          <w:marTop w:val="0"/>
          <w:marBottom w:val="0"/>
          <w:divBdr>
            <w:top w:val="none" w:sz="0" w:space="0" w:color="auto"/>
            <w:left w:val="none" w:sz="0" w:space="0" w:color="auto"/>
            <w:bottom w:val="none" w:sz="0" w:space="0" w:color="auto"/>
            <w:right w:val="none" w:sz="0" w:space="0" w:color="auto"/>
          </w:divBdr>
        </w:div>
        <w:div w:id="1619945388">
          <w:marLeft w:val="0"/>
          <w:marRight w:val="0"/>
          <w:marTop w:val="0"/>
          <w:marBottom w:val="0"/>
          <w:divBdr>
            <w:top w:val="none" w:sz="0" w:space="0" w:color="auto"/>
            <w:left w:val="none" w:sz="0" w:space="0" w:color="auto"/>
            <w:bottom w:val="none" w:sz="0" w:space="0" w:color="auto"/>
            <w:right w:val="none" w:sz="0" w:space="0" w:color="auto"/>
          </w:divBdr>
        </w:div>
        <w:div w:id="1639991508">
          <w:marLeft w:val="0"/>
          <w:marRight w:val="0"/>
          <w:marTop w:val="0"/>
          <w:marBottom w:val="0"/>
          <w:divBdr>
            <w:top w:val="none" w:sz="0" w:space="0" w:color="auto"/>
            <w:left w:val="none" w:sz="0" w:space="0" w:color="auto"/>
            <w:bottom w:val="none" w:sz="0" w:space="0" w:color="auto"/>
            <w:right w:val="none" w:sz="0" w:space="0" w:color="auto"/>
          </w:divBdr>
        </w:div>
      </w:divsChild>
    </w:div>
    <w:div w:id="545215656">
      <w:bodyDiv w:val="1"/>
      <w:marLeft w:val="0"/>
      <w:marRight w:val="0"/>
      <w:marTop w:val="0"/>
      <w:marBottom w:val="0"/>
      <w:divBdr>
        <w:top w:val="none" w:sz="0" w:space="0" w:color="auto"/>
        <w:left w:val="none" w:sz="0" w:space="0" w:color="auto"/>
        <w:bottom w:val="none" w:sz="0" w:space="0" w:color="auto"/>
        <w:right w:val="none" w:sz="0" w:space="0" w:color="auto"/>
      </w:divBdr>
    </w:div>
    <w:div w:id="621616465">
      <w:bodyDiv w:val="1"/>
      <w:marLeft w:val="0"/>
      <w:marRight w:val="0"/>
      <w:marTop w:val="0"/>
      <w:marBottom w:val="0"/>
      <w:divBdr>
        <w:top w:val="none" w:sz="0" w:space="0" w:color="auto"/>
        <w:left w:val="none" w:sz="0" w:space="0" w:color="auto"/>
        <w:bottom w:val="none" w:sz="0" w:space="0" w:color="auto"/>
        <w:right w:val="none" w:sz="0" w:space="0" w:color="auto"/>
      </w:divBdr>
    </w:div>
    <w:div w:id="738094578">
      <w:bodyDiv w:val="1"/>
      <w:marLeft w:val="0"/>
      <w:marRight w:val="0"/>
      <w:marTop w:val="0"/>
      <w:marBottom w:val="0"/>
      <w:divBdr>
        <w:top w:val="none" w:sz="0" w:space="0" w:color="auto"/>
        <w:left w:val="none" w:sz="0" w:space="0" w:color="auto"/>
        <w:bottom w:val="none" w:sz="0" w:space="0" w:color="auto"/>
        <w:right w:val="none" w:sz="0" w:space="0" w:color="auto"/>
      </w:divBdr>
    </w:div>
    <w:div w:id="1047144518">
      <w:bodyDiv w:val="1"/>
      <w:marLeft w:val="0"/>
      <w:marRight w:val="0"/>
      <w:marTop w:val="0"/>
      <w:marBottom w:val="0"/>
      <w:divBdr>
        <w:top w:val="none" w:sz="0" w:space="0" w:color="auto"/>
        <w:left w:val="none" w:sz="0" w:space="0" w:color="auto"/>
        <w:bottom w:val="none" w:sz="0" w:space="0" w:color="auto"/>
        <w:right w:val="none" w:sz="0" w:space="0" w:color="auto"/>
      </w:divBdr>
    </w:div>
    <w:div w:id="1326975545">
      <w:bodyDiv w:val="1"/>
      <w:marLeft w:val="0"/>
      <w:marRight w:val="0"/>
      <w:marTop w:val="0"/>
      <w:marBottom w:val="0"/>
      <w:divBdr>
        <w:top w:val="none" w:sz="0" w:space="0" w:color="auto"/>
        <w:left w:val="none" w:sz="0" w:space="0" w:color="auto"/>
        <w:bottom w:val="none" w:sz="0" w:space="0" w:color="auto"/>
        <w:right w:val="none" w:sz="0" w:space="0" w:color="auto"/>
      </w:divBdr>
    </w:div>
    <w:div w:id="1394696622">
      <w:bodyDiv w:val="1"/>
      <w:marLeft w:val="0"/>
      <w:marRight w:val="0"/>
      <w:marTop w:val="0"/>
      <w:marBottom w:val="0"/>
      <w:divBdr>
        <w:top w:val="none" w:sz="0" w:space="0" w:color="auto"/>
        <w:left w:val="none" w:sz="0" w:space="0" w:color="auto"/>
        <w:bottom w:val="none" w:sz="0" w:space="0" w:color="auto"/>
        <w:right w:val="none" w:sz="0" w:space="0" w:color="auto"/>
      </w:divBdr>
    </w:div>
    <w:div w:id="1460757119">
      <w:bodyDiv w:val="1"/>
      <w:marLeft w:val="0"/>
      <w:marRight w:val="0"/>
      <w:marTop w:val="0"/>
      <w:marBottom w:val="0"/>
      <w:divBdr>
        <w:top w:val="none" w:sz="0" w:space="0" w:color="auto"/>
        <w:left w:val="none" w:sz="0" w:space="0" w:color="auto"/>
        <w:bottom w:val="none" w:sz="0" w:space="0" w:color="auto"/>
        <w:right w:val="none" w:sz="0" w:space="0" w:color="auto"/>
      </w:divBdr>
    </w:div>
    <w:div w:id="1923181697">
      <w:bodyDiv w:val="1"/>
      <w:marLeft w:val="0"/>
      <w:marRight w:val="0"/>
      <w:marTop w:val="0"/>
      <w:marBottom w:val="0"/>
      <w:divBdr>
        <w:top w:val="none" w:sz="0" w:space="0" w:color="auto"/>
        <w:left w:val="none" w:sz="0" w:space="0" w:color="auto"/>
        <w:bottom w:val="none" w:sz="0" w:space="0" w:color="auto"/>
        <w:right w:val="none" w:sz="0" w:space="0" w:color="auto"/>
      </w:divBdr>
      <w:divsChild>
        <w:div w:id="860165197">
          <w:marLeft w:val="0"/>
          <w:marRight w:val="0"/>
          <w:marTop w:val="0"/>
          <w:marBottom w:val="0"/>
          <w:divBdr>
            <w:top w:val="none" w:sz="0" w:space="0" w:color="auto"/>
            <w:left w:val="none" w:sz="0" w:space="0" w:color="auto"/>
            <w:bottom w:val="none" w:sz="0" w:space="0" w:color="auto"/>
            <w:right w:val="none" w:sz="0" w:space="0" w:color="auto"/>
          </w:divBdr>
        </w:div>
        <w:div w:id="1318265524">
          <w:marLeft w:val="0"/>
          <w:marRight w:val="0"/>
          <w:marTop w:val="0"/>
          <w:marBottom w:val="0"/>
          <w:divBdr>
            <w:top w:val="none" w:sz="0" w:space="0" w:color="auto"/>
            <w:left w:val="none" w:sz="0" w:space="0" w:color="auto"/>
            <w:bottom w:val="none" w:sz="0" w:space="0" w:color="auto"/>
            <w:right w:val="none" w:sz="0" w:space="0" w:color="auto"/>
          </w:divBdr>
        </w:div>
        <w:div w:id="1564100074">
          <w:marLeft w:val="0"/>
          <w:marRight w:val="0"/>
          <w:marTop w:val="0"/>
          <w:marBottom w:val="0"/>
          <w:divBdr>
            <w:top w:val="none" w:sz="0" w:space="0" w:color="auto"/>
            <w:left w:val="none" w:sz="0" w:space="0" w:color="auto"/>
            <w:bottom w:val="none" w:sz="0" w:space="0" w:color="auto"/>
            <w:right w:val="none" w:sz="0" w:space="0" w:color="auto"/>
          </w:divBdr>
        </w:div>
        <w:div w:id="866061819">
          <w:marLeft w:val="0"/>
          <w:marRight w:val="0"/>
          <w:marTop w:val="0"/>
          <w:marBottom w:val="0"/>
          <w:divBdr>
            <w:top w:val="none" w:sz="0" w:space="0" w:color="auto"/>
            <w:left w:val="none" w:sz="0" w:space="0" w:color="auto"/>
            <w:bottom w:val="none" w:sz="0" w:space="0" w:color="auto"/>
            <w:right w:val="none" w:sz="0" w:space="0" w:color="auto"/>
          </w:divBdr>
        </w:div>
        <w:div w:id="1356077515">
          <w:marLeft w:val="0"/>
          <w:marRight w:val="0"/>
          <w:marTop w:val="0"/>
          <w:marBottom w:val="0"/>
          <w:divBdr>
            <w:top w:val="none" w:sz="0" w:space="0" w:color="auto"/>
            <w:left w:val="none" w:sz="0" w:space="0" w:color="auto"/>
            <w:bottom w:val="none" w:sz="0" w:space="0" w:color="auto"/>
            <w:right w:val="none" w:sz="0" w:space="0" w:color="auto"/>
          </w:divBdr>
        </w:div>
        <w:div w:id="445546066">
          <w:marLeft w:val="0"/>
          <w:marRight w:val="0"/>
          <w:marTop w:val="0"/>
          <w:marBottom w:val="0"/>
          <w:divBdr>
            <w:top w:val="none" w:sz="0" w:space="0" w:color="auto"/>
            <w:left w:val="none" w:sz="0" w:space="0" w:color="auto"/>
            <w:bottom w:val="none" w:sz="0" w:space="0" w:color="auto"/>
            <w:right w:val="none" w:sz="0" w:space="0" w:color="auto"/>
          </w:divBdr>
        </w:div>
        <w:div w:id="1187796235">
          <w:marLeft w:val="0"/>
          <w:marRight w:val="0"/>
          <w:marTop w:val="0"/>
          <w:marBottom w:val="0"/>
          <w:divBdr>
            <w:top w:val="none" w:sz="0" w:space="0" w:color="auto"/>
            <w:left w:val="none" w:sz="0" w:space="0" w:color="auto"/>
            <w:bottom w:val="none" w:sz="0" w:space="0" w:color="auto"/>
            <w:right w:val="none" w:sz="0" w:space="0" w:color="auto"/>
          </w:divBdr>
        </w:div>
        <w:div w:id="529493895">
          <w:marLeft w:val="0"/>
          <w:marRight w:val="0"/>
          <w:marTop w:val="0"/>
          <w:marBottom w:val="0"/>
          <w:divBdr>
            <w:top w:val="none" w:sz="0" w:space="0" w:color="auto"/>
            <w:left w:val="none" w:sz="0" w:space="0" w:color="auto"/>
            <w:bottom w:val="none" w:sz="0" w:space="0" w:color="auto"/>
            <w:right w:val="none" w:sz="0" w:space="0" w:color="auto"/>
          </w:divBdr>
        </w:div>
        <w:div w:id="752749632">
          <w:marLeft w:val="0"/>
          <w:marRight w:val="0"/>
          <w:marTop w:val="0"/>
          <w:marBottom w:val="0"/>
          <w:divBdr>
            <w:top w:val="none" w:sz="0" w:space="0" w:color="auto"/>
            <w:left w:val="none" w:sz="0" w:space="0" w:color="auto"/>
            <w:bottom w:val="none" w:sz="0" w:space="0" w:color="auto"/>
            <w:right w:val="none" w:sz="0" w:space="0" w:color="auto"/>
          </w:divBdr>
        </w:div>
        <w:div w:id="2060473792">
          <w:marLeft w:val="0"/>
          <w:marRight w:val="0"/>
          <w:marTop w:val="0"/>
          <w:marBottom w:val="0"/>
          <w:divBdr>
            <w:top w:val="none" w:sz="0" w:space="0" w:color="auto"/>
            <w:left w:val="none" w:sz="0" w:space="0" w:color="auto"/>
            <w:bottom w:val="none" w:sz="0" w:space="0" w:color="auto"/>
            <w:right w:val="none" w:sz="0" w:space="0" w:color="auto"/>
          </w:divBdr>
        </w:div>
        <w:div w:id="1089698064">
          <w:marLeft w:val="0"/>
          <w:marRight w:val="0"/>
          <w:marTop w:val="0"/>
          <w:marBottom w:val="0"/>
          <w:divBdr>
            <w:top w:val="none" w:sz="0" w:space="0" w:color="auto"/>
            <w:left w:val="none" w:sz="0" w:space="0" w:color="auto"/>
            <w:bottom w:val="none" w:sz="0" w:space="0" w:color="auto"/>
            <w:right w:val="none" w:sz="0" w:space="0" w:color="auto"/>
          </w:divBdr>
        </w:div>
        <w:div w:id="24448844">
          <w:marLeft w:val="0"/>
          <w:marRight w:val="0"/>
          <w:marTop w:val="0"/>
          <w:marBottom w:val="0"/>
          <w:divBdr>
            <w:top w:val="none" w:sz="0" w:space="0" w:color="auto"/>
            <w:left w:val="none" w:sz="0" w:space="0" w:color="auto"/>
            <w:bottom w:val="none" w:sz="0" w:space="0" w:color="auto"/>
            <w:right w:val="none" w:sz="0" w:space="0" w:color="auto"/>
          </w:divBdr>
        </w:div>
        <w:div w:id="1711105332">
          <w:marLeft w:val="0"/>
          <w:marRight w:val="0"/>
          <w:marTop w:val="0"/>
          <w:marBottom w:val="0"/>
          <w:divBdr>
            <w:top w:val="none" w:sz="0" w:space="0" w:color="auto"/>
            <w:left w:val="none" w:sz="0" w:space="0" w:color="auto"/>
            <w:bottom w:val="none" w:sz="0" w:space="0" w:color="auto"/>
            <w:right w:val="none" w:sz="0" w:space="0" w:color="auto"/>
          </w:divBdr>
        </w:div>
        <w:div w:id="662468513">
          <w:marLeft w:val="0"/>
          <w:marRight w:val="0"/>
          <w:marTop w:val="0"/>
          <w:marBottom w:val="0"/>
          <w:divBdr>
            <w:top w:val="none" w:sz="0" w:space="0" w:color="auto"/>
            <w:left w:val="none" w:sz="0" w:space="0" w:color="auto"/>
            <w:bottom w:val="none" w:sz="0" w:space="0" w:color="auto"/>
            <w:right w:val="none" w:sz="0" w:space="0" w:color="auto"/>
          </w:divBdr>
        </w:div>
        <w:div w:id="236406092">
          <w:marLeft w:val="0"/>
          <w:marRight w:val="0"/>
          <w:marTop w:val="0"/>
          <w:marBottom w:val="0"/>
          <w:divBdr>
            <w:top w:val="none" w:sz="0" w:space="0" w:color="auto"/>
            <w:left w:val="none" w:sz="0" w:space="0" w:color="auto"/>
            <w:bottom w:val="none" w:sz="0" w:space="0" w:color="auto"/>
            <w:right w:val="none" w:sz="0" w:space="0" w:color="auto"/>
          </w:divBdr>
        </w:div>
        <w:div w:id="61879585">
          <w:marLeft w:val="0"/>
          <w:marRight w:val="0"/>
          <w:marTop w:val="0"/>
          <w:marBottom w:val="0"/>
          <w:divBdr>
            <w:top w:val="none" w:sz="0" w:space="0" w:color="auto"/>
            <w:left w:val="none" w:sz="0" w:space="0" w:color="auto"/>
            <w:bottom w:val="none" w:sz="0" w:space="0" w:color="auto"/>
            <w:right w:val="none" w:sz="0" w:space="0" w:color="auto"/>
          </w:divBdr>
        </w:div>
        <w:div w:id="1523204562">
          <w:marLeft w:val="0"/>
          <w:marRight w:val="0"/>
          <w:marTop w:val="0"/>
          <w:marBottom w:val="0"/>
          <w:divBdr>
            <w:top w:val="none" w:sz="0" w:space="0" w:color="auto"/>
            <w:left w:val="none" w:sz="0" w:space="0" w:color="auto"/>
            <w:bottom w:val="none" w:sz="0" w:space="0" w:color="auto"/>
            <w:right w:val="none" w:sz="0" w:space="0" w:color="auto"/>
          </w:divBdr>
        </w:div>
        <w:div w:id="622543070">
          <w:marLeft w:val="0"/>
          <w:marRight w:val="0"/>
          <w:marTop w:val="0"/>
          <w:marBottom w:val="0"/>
          <w:divBdr>
            <w:top w:val="none" w:sz="0" w:space="0" w:color="auto"/>
            <w:left w:val="none" w:sz="0" w:space="0" w:color="auto"/>
            <w:bottom w:val="none" w:sz="0" w:space="0" w:color="auto"/>
            <w:right w:val="none" w:sz="0" w:space="0" w:color="auto"/>
          </w:divBdr>
        </w:div>
        <w:div w:id="760494732">
          <w:marLeft w:val="0"/>
          <w:marRight w:val="0"/>
          <w:marTop w:val="0"/>
          <w:marBottom w:val="0"/>
          <w:divBdr>
            <w:top w:val="none" w:sz="0" w:space="0" w:color="auto"/>
            <w:left w:val="none" w:sz="0" w:space="0" w:color="auto"/>
            <w:bottom w:val="none" w:sz="0" w:space="0" w:color="auto"/>
            <w:right w:val="none" w:sz="0" w:space="0" w:color="auto"/>
          </w:divBdr>
        </w:div>
        <w:div w:id="561140722">
          <w:marLeft w:val="0"/>
          <w:marRight w:val="0"/>
          <w:marTop w:val="0"/>
          <w:marBottom w:val="0"/>
          <w:divBdr>
            <w:top w:val="none" w:sz="0" w:space="0" w:color="auto"/>
            <w:left w:val="none" w:sz="0" w:space="0" w:color="auto"/>
            <w:bottom w:val="none" w:sz="0" w:space="0" w:color="auto"/>
            <w:right w:val="none" w:sz="0" w:space="0" w:color="auto"/>
          </w:divBdr>
        </w:div>
        <w:div w:id="440347350">
          <w:marLeft w:val="0"/>
          <w:marRight w:val="0"/>
          <w:marTop w:val="0"/>
          <w:marBottom w:val="0"/>
          <w:divBdr>
            <w:top w:val="none" w:sz="0" w:space="0" w:color="auto"/>
            <w:left w:val="none" w:sz="0" w:space="0" w:color="auto"/>
            <w:bottom w:val="none" w:sz="0" w:space="0" w:color="auto"/>
            <w:right w:val="none" w:sz="0" w:space="0" w:color="auto"/>
          </w:divBdr>
        </w:div>
      </w:divsChild>
    </w:div>
    <w:div w:id="1936598708">
      <w:bodyDiv w:val="1"/>
      <w:marLeft w:val="0"/>
      <w:marRight w:val="0"/>
      <w:marTop w:val="0"/>
      <w:marBottom w:val="0"/>
      <w:divBdr>
        <w:top w:val="none" w:sz="0" w:space="0" w:color="auto"/>
        <w:left w:val="none" w:sz="0" w:space="0" w:color="auto"/>
        <w:bottom w:val="none" w:sz="0" w:space="0" w:color="auto"/>
        <w:right w:val="none" w:sz="0" w:space="0" w:color="auto"/>
      </w:divBdr>
    </w:div>
    <w:div w:id="2113276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2578FF-3D53-47A9-A9D8-1347DA974C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6693</Words>
  <Characters>38153</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Gotwals</dc:creator>
  <cp:lastModifiedBy>Autumn Campbell</cp:lastModifiedBy>
  <cp:revision>3</cp:revision>
  <cp:lastPrinted>2017-06-07T16:38:00Z</cp:lastPrinted>
  <dcterms:created xsi:type="dcterms:W3CDTF">2017-06-08T19:54:00Z</dcterms:created>
  <dcterms:modified xsi:type="dcterms:W3CDTF">2017-06-08T19:56:00Z</dcterms:modified>
</cp:coreProperties>
</file>